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1DFA" w14:textId="77777777" w:rsidR="00C662FD" w:rsidRPr="006A09A2" w:rsidRDefault="00C662FD" w:rsidP="00C662F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851" w:right="844"/>
        <w:rPr>
          <w:rFonts w:ascii="Arial" w:eastAsia="Aptos" w:hAnsi="Arial" w:cs="Arial"/>
          <w:b/>
          <w:bCs/>
          <w:kern w:val="2"/>
          <w:bdr w:val="none" w:sz="0" w:space="0" w:color="auto"/>
          <w:lang w:val="el-GR"/>
          <w14:ligatures w14:val="standardContextual"/>
        </w:rPr>
      </w:pPr>
    </w:p>
    <w:p w14:paraId="52809692" w14:textId="73FFADF3" w:rsidR="00C662FD" w:rsidRPr="006A09A2" w:rsidRDefault="003A1A69" w:rsidP="00C662F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right="1128"/>
        <w:rPr>
          <w:rFonts w:ascii="Arial" w:eastAsia="Aptos" w:hAnsi="Arial" w:cs="Arial"/>
          <w:b/>
          <w:bCs/>
          <w:kern w:val="2"/>
          <w:bdr w:val="none" w:sz="0" w:space="0" w:color="auto"/>
          <w:lang w:val="el-GR"/>
          <w14:ligatures w14:val="standardContextual"/>
        </w:rPr>
      </w:pPr>
      <w:r w:rsidRPr="006A09A2">
        <w:rPr>
          <w:rFonts w:ascii="Arial" w:eastAsia="Aptos" w:hAnsi="Arial" w:cs="Arial"/>
          <w:b/>
          <w:bCs/>
          <w:kern w:val="2"/>
          <w:bdr w:val="none" w:sz="0" w:space="0" w:color="auto"/>
          <w:lang w:val="el-GR"/>
          <w14:ligatures w14:val="standardContextual"/>
        </w:rPr>
        <w:t>ΔΕΛΤΙΟ ΤΥΠΟΥ</w:t>
      </w:r>
    </w:p>
    <w:p w14:paraId="3E91BC1C" w14:textId="0B0E5B0B" w:rsidR="00C662FD" w:rsidRPr="006A09A2" w:rsidRDefault="006A09A2" w:rsidP="00C662F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right="1128"/>
        <w:rPr>
          <w:rFonts w:ascii="Arial" w:eastAsia="Aptos" w:hAnsi="Arial" w:cs="Arial"/>
          <w:b/>
          <w:bCs/>
          <w:kern w:val="2"/>
          <w:sz w:val="22"/>
          <w:szCs w:val="22"/>
          <w:bdr w:val="none" w:sz="0" w:space="0" w:color="auto"/>
          <w:lang w:val="el-GR"/>
          <w14:ligatures w14:val="standardContextual"/>
        </w:rPr>
      </w:pPr>
      <w:r w:rsidRPr="006A09A2">
        <w:rPr>
          <w:rFonts w:ascii="Arial" w:eastAsia="Aptos" w:hAnsi="Arial" w:cs="Arial"/>
          <w:b/>
          <w:bCs/>
          <w:kern w:val="2"/>
          <w:sz w:val="22"/>
          <w:szCs w:val="22"/>
          <w:bdr w:val="none" w:sz="0" w:space="0" w:color="auto"/>
          <w:lang w:val="el-GR"/>
          <w14:ligatures w14:val="standardContextual"/>
        </w:rPr>
        <w:t>Διευκρινίσεις για το ημιτελές κτήριο επί της Λεωφόρου Σπύρου Κυπριανού</w:t>
      </w:r>
    </w:p>
    <w:p w14:paraId="4A3C6689" w14:textId="77777777" w:rsidR="00931206" w:rsidRPr="006A09A2" w:rsidRDefault="00931206" w:rsidP="00C662F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right="1128"/>
        <w:rPr>
          <w:rFonts w:ascii="Arial" w:eastAsia="Aptos" w:hAnsi="Arial" w:cs="Arial"/>
          <w:b/>
          <w:bCs/>
          <w:kern w:val="2"/>
          <w:sz w:val="20"/>
          <w:szCs w:val="20"/>
          <w:bdr w:val="none" w:sz="0" w:space="0" w:color="auto"/>
          <w:lang w:val="el-GR"/>
          <w14:ligatures w14:val="standardContextual"/>
        </w:rPr>
      </w:pPr>
    </w:p>
    <w:p w14:paraId="77EA480C" w14:textId="3F778C23" w:rsidR="00C662FD" w:rsidRPr="006A09A2" w:rsidRDefault="006A09A2" w:rsidP="00C662F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right="1128"/>
        <w:rPr>
          <w:rFonts w:ascii="Arial" w:eastAsia="Aptos" w:hAnsi="Arial" w:cs="Arial"/>
          <w:b/>
          <w:bCs/>
          <w:kern w:val="2"/>
          <w:sz w:val="22"/>
          <w:szCs w:val="22"/>
          <w:bdr w:val="none" w:sz="0" w:space="0" w:color="auto"/>
          <w:lang w:val="el-GR"/>
          <w14:ligatures w14:val="standardContextual"/>
        </w:rPr>
      </w:pPr>
      <w:r w:rsidRPr="006A09A2">
        <w:rPr>
          <w:rFonts w:ascii="Arial" w:eastAsia="Aptos" w:hAnsi="Arial" w:cs="Arial"/>
          <w:b/>
          <w:bCs/>
          <w:kern w:val="2"/>
          <w:sz w:val="22"/>
          <w:szCs w:val="22"/>
          <w:bdr w:val="none" w:sz="0" w:space="0" w:color="auto"/>
          <w:lang w:val="el-GR"/>
          <w14:ligatures w14:val="standardContextual"/>
        </w:rPr>
        <w:t>Πέμπτη</w:t>
      </w:r>
      <w:r w:rsidR="00AD0430" w:rsidRPr="006A09A2">
        <w:rPr>
          <w:rFonts w:ascii="Arial" w:eastAsia="Aptos" w:hAnsi="Arial" w:cs="Arial"/>
          <w:b/>
          <w:bCs/>
          <w:kern w:val="2"/>
          <w:sz w:val="22"/>
          <w:szCs w:val="22"/>
          <w:bdr w:val="none" w:sz="0" w:space="0" w:color="auto"/>
          <w:lang w:val="el-GR"/>
          <w14:ligatures w14:val="standardContextual"/>
        </w:rPr>
        <w:t>,</w:t>
      </w:r>
      <w:r w:rsidR="00931206" w:rsidRPr="006A09A2">
        <w:rPr>
          <w:rFonts w:ascii="Arial" w:eastAsia="Aptos" w:hAnsi="Arial" w:cs="Arial"/>
          <w:b/>
          <w:bCs/>
          <w:kern w:val="2"/>
          <w:sz w:val="22"/>
          <w:szCs w:val="22"/>
          <w:bdr w:val="none" w:sz="0" w:space="0" w:color="auto"/>
          <w:lang w:val="el-GR"/>
          <w14:ligatures w14:val="standardContextual"/>
        </w:rPr>
        <w:t xml:space="preserve"> 2</w:t>
      </w:r>
      <w:r w:rsidRPr="006A09A2">
        <w:rPr>
          <w:rFonts w:ascii="Arial" w:eastAsia="Aptos" w:hAnsi="Arial" w:cs="Arial"/>
          <w:b/>
          <w:bCs/>
          <w:kern w:val="2"/>
          <w:sz w:val="22"/>
          <w:szCs w:val="22"/>
          <w:bdr w:val="none" w:sz="0" w:space="0" w:color="auto"/>
          <w:lang w:val="el-GR"/>
          <w14:ligatures w14:val="standardContextual"/>
        </w:rPr>
        <w:t>6</w:t>
      </w:r>
      <w:r w:rsidR="00C662FD" w:rsidRPr="006A09A2">
        <w:rPr>
          <w:rFonts w:ascii="Arial" w:eastAsia="Aptos" w:hAnsi="Arial" w:cs="Arial"/>
          <w:b/>
          <w:bCs/>
          <w:kern w:val="2"/>
          <w:sz w:val="22"/>
          <w:szCs w:val="22"/>
          <w:bdr w:val="none" w:sz="0" w:space="0" w:color="auto"/>
          <w:lang w:val="el-GR"/>
          <w14:ligatures w14:val="standardContextual"/>
        </w:rPr>
        <w:t xml:space="preserve"> Μαρτίου 2026</w:t>
      </w:r>
    </w:p>
    <w:p w14:paraId="7C10A64E" w14:textId="77777777" w:rsidR="00AD0430" w:rsidRPr="006A09A2" w:rsidRDefault="00AD0430" w:rsidP="00AD0430">
      <w:pPr>
        <w:pStyle w:val="BodyA"/>
        <w:ind w:left="1134" w:right="1128"/>
        <w:jc w:val="both"/>
        <w:rPr>
          <w:rFonts w:ascii="Arial" w:hAnsi="Arial" w:cs="Arial"/>
          <w:sz w:val="24"/>
          <w:szCs w:val="24"/>
          <w:lang w:val="el-GR"/>
        </w:rPr>
      </w:pPr>
    </w:p>
    <w:p w14:paraId="64B55F22" w14:textId="4D15F1CE" w:rsidR="006A09A2" w:rsidRPr="00714A8D" w:rsidRDefault="006A09A2" w:rsidP="00714A8D">
      <w:pPr>
        <w:pStyle w:val="BodyA"/>
        <w:spacing w:line="276" w:lineRule="auto"/>
        <w:ind w:left="1134" w:right="1128"/>
        <w:jc w:val="both"/>
        <w:rPr>
          <w:rFonts w:ascii="Arial" w:hAnsi="Arial" w:cs="Arial"/>
          <w:lang w:val="el-GR"/>
        </w:rPr>
      </w:pPr>
      <w:r w:rsidRPr="00714A8D">
        <w:rPr>
          <w:rFonts w:ascii="Arial" w:hAnsi="Arial" w:cs="Arial"/>
          <w:lang w:val="el-GR"/>
        </w:rPr>
        <w:t xml:space="preserve">Με αφορμή την </w:t>
      </w:r>
      <w:r w:rsidRPr="00714A8D">
        <w:rPr>
          <w:rFonts w:ascii="Arial" w:hAnsi="Arial" w:cs="Arial"/>
          <w:lang w:val="el-GR"/>
        </w:rPr>
        <w:t>Ειδική Έ</w:t>
      </w:r>
      <w:r w:rsidRPr="00714A8D">
        <w:rPr>
          <w:rFonts w:ascii="Arial" w:hAnsi="Arial" w:cs="Arial"/>
          <w:lang w:val="el-GR"/>
        </w:rPr>
        <w:t xml:space="preserve">κθεση της Ελεγκτικής Υπηρεσίας, ο Επαρχιακός Οργανισμός Αυτοδιοίκησης Λευκωσίας διευκρινίζει: </w:t>
      </w:r>
    </w:p>
    <w:p w14:paraId="46BD86C3" w14:textId="77777777" w:rsidR="006A09A2" w:rsidRPr="00714A8D" w:rsidRDefault="006A09A2" w:rsidP="00714A8D">
      <w:pPr>
        <w:pStyle w:val="BodyA"/>
        <w:spacing w:line="276" w:lineRule="auto"/>
        <w:ind w:left="1134" w:right="1128"/>
        <w:jc w:val="both"/>
        <w:rPr>
          <w:rFonts w:ascii="Arial" w:hAnsi="Arial" w:cs="Arial"/>
          <w:lang w:val="el-GR"/>
        </w:rPr>
      </w:pPr>
    </w:p>
    <w:p w14:paraId="4AF3726A" w14:textId="77777777" w:rsidR="00714A8D" w:rsidRPr="00714A8D" w:rsidRDefault="006A09A2" w:rsidP="00714A8D">
      <w:pPr>
        <w:pStyle w:val="BodyA"/>
        <w:numPr>
          <w:ilvl w:val="0"/>
          <w:numId w:val="1"/>
        </w:numPr>
        <w:spacing w:line="276" w:lineRule="auto"/>
        <w:ind w:left="1440" w:right="1128"/>
        <w:jc w:val="both"/>
        <w:rPr>
          <w:rFonts w:ascii="Arial" w:hAnsi="Arial" w:cs="Arial"/>
          <w:lang w:val="el-GR"/>
        </w:rPr>
      </w:pPr>
      <w:r w:rsidRPr="00714A8D">
        <w:rPr>
          <w:rFonts w:ascii="Arial" w:hAnsi="Arial" w:cs="Arial"/>
          <w:lang w:val="el-GR"/>
        </w:rPr>
        <w:t>Η</w:t>
      </w:r>
      <w:r w:rsidRPr="00714A8D">
        <w:rPr>
          <w:rFonts w:ascii="Arial" w:hAnsi="Arial" w:cs="Arial"/>
          <w:lang w:val="el-GR"/>
        </w:rPr>
        <w:t xml:space="preserve"> υπόθεση</w:t>
      </w:r>
      <w:r w:rsidRPr="00714A8D">
        <w:rPr>
          <w:rFonts w:ascii="Arial" w:hAnsi="Arial" w:cs="Arial"/>
          <w:lang w:val="el-GR"/>
        </w:rPr>
        <w:t xml:space="preserve"> α</w:t>
      </w:r>
      <w:r w:rsidRPr="00714A8D">
        <w:rPr>
          <w:rFonts w:ascii="Arial" w:hAnsi="Arial" w:cs="Arial"/>
          <w:lang w:val="el-GR"/>
        </w:rPr>
        <w:t xml:space="preserve">νέδειξε κενό στη νομοθεσία σχετικά με τις ημιτελείς αναπτύξεις, κενό το οποίο ισχύει και για αναπτύξεις που παρουσιάζουν εικόνα εγκατάλειψης λόγω μη χρησιμοποίησης τους. </w:t>
      </w:r>
    </w:p>
    <w:p w14:paraId="5BB54B03" w14:textId="77777777" w:rsidR="00714A8D" w:rsidRPr="00714A8D" w:rsidRDefault="00714A8D" w:rsidP="00714A8D">
      <w:pPr>
        <w:pStyle w:val="BodyA"/>
        <w:spacing w:line="276" w:lineRule="auto"/>
        <w:ind w:left="1440" w:right="1128"/>
        <w:jc w:val="both"/>
        <w:rPr>
          <w:rFonts w:ascii="Arial" w:hAnsi="Arial" w:cs="Arial"/>
          <w:lang w:val="el-GR"/>
        </w:rPr>
      </w:pPr>
    </w:p>
    <w:p w14:paraId="7E97F46F" w14:textId="78792CB6" w:rsidR="006A09A2" w:rsidRPr="00714A8D" w:rsidRDefault="006A09A2" w:rsidP="00714A8D">
      <w:pPr>
        <w:pStyle w:val="BodyA"/>
        <w:spacing w:line="276" w:lineRule="auto"/>
        <w:ind w:left="1440" w:right="1128"/>
        <w:jc w:val="both"/>
        <w:rPr>
          <w:rFonts w:ascii="Arial" w:hAnsi="Arial" w:cs="Arial"/>
          <w:b/>
          <w:bCs/>
          <w:lang w:val="el-GR"/>
        </w:rPr>
      </w:pPr>
      <w:r w:rsidRPr="00714A8D">
        <w:rPr>
          <w:rFonts w:ascii="Arial" w:hAnsi="Arial" w:cs="Arial"/>
          <w:b/>
          <w:bCs/>
          <w:lang w:val="el-GR"/>
        </w:rPr>
        <w:t xml:space="preserve">Επισημαίνεται ότι, παρόλο που η Διεύθυνση </w:t>
      </w:r>
      <w:proofErr w:type="spellStart"/>
      <w:r w:rsidRPr="00714A8D">
        <w:rPr>
          <w:rFonts w:ascii="Arial" w:hAnsi="Arial" w:cs="Arial"/>
          <w:b/>
          <w:bCs/>
          <w:lang w:val="el-GR"/>
        </w:rPr>
        <w:t>Αδειοδότησης</w:t>
      </w:r>
      <w:proofErr w:type="spellEnd"/>
      <w:r w:rsidRPr="00714A8D">
        <w:rPr>
          <w:rFonts w:ascii="Arial" w:hAnsi="Arial" w:cs="Arial"/>
          <w:b/>
          <w:bCs/>
          <w:lang w:val="el-GR"/>
        </w:rPr>
        <w:t xml:space="preserve"> του ΕΟΑ Λευκωσίας δεν αποτελεί νομοθετικό όργανο, θα προχωρήσει στην</w:t>
      </w:r>
      <w:r w:rsidRPr="00714A8D">
        <w:rPr>
          <w:rFonts w:ascii="Arial" w:hAnsi="Arial" w:cs="Arial"/>
          <w:b/>
          <w:bCs/>
          <w:lang w:val="el-GR"/>
        </w:rPr>
        <w:t xml:space="preserve"> κοινοποίηση της </w:t>
      </w:r>
      <w:r w:rsidRPr="00714A8D">
        <w:rPr>
          <w:rFonts w:ascii="Arial" w:hAnsi="Arial" w:cs="Arial"/>
          <w:b/>
          <w:bCs/>
          <w:lang w:val="el-GR"/>
        </w:rPr>
        <w:t>Ειδική</w:t>
      </w:r>
      <w:r w:rsidRPr="00714A8D">
        <w:rPr>
          <w:rFonts w:ascii="Arial" w:hAnsi="Arial" w:cs="Arial"/>
          <w:b/>
          <w:bCs/>
          <w:lang w:val="el-GR"/>
        </w:rPr>
        <w:t>ς</w:t>
      </w:r>
      <w:r w:rsidRPr="00714A8D">
        <w:rPr>
          <w:rFonts w:ascii="Arial" w:hAnsi="Arial" w:cs="Arial"/>
          <w:b/>
          <w:bCs/>
          <w:lang w:val="el-GR"/>
        </w:rPr>
        <w:t xml:space="preserve"> Έκθεση</w:t>
      </w:r>
      <w:r w:rsidRPr="00714A8D">
        <w:rPr>
          <w:rFonts w:ascii="Arial" w:hAnsi="Arial" w:cs="Arial"/>
          <w:b/>
          <w:bCs/>
          <w:lang w:val="el-GR"/>
        </w:rPr>
        <w:t xml:space="preserve">ς </w:t>
      </w:r>
      <w:r w:rsidRPr="00714A8D">
        <w:rPr>
          <w:rFonts w:ascii="Arial" w:hAnsi="Arial" w:cs="Arial"/>
          <w:b/>
          <w:bCs/>
          <w:lang w:val="el-GR"/>
        </w:rPr>
        <w:t>της Ελεγκτικής Υπηρεσίας</w:t>
      </w:r>
      <w:r w:rsidRPr="00714A8D">
        <w:rPr>
          <w:rFonts w:ascii="Arial" w:hAnsi="Arial" w:cs="Arial"/>
          <w:b/>
          <w:bCs/>
          <w:lang w:val="el-GR"/>
        </w:rPr>
        <w:t xml:space="preserve"> και στην </w:t>
      </w:r>
      <w:r w:rsidRPr="00714A8D">
        <w:rPr>
          <w:rFonts w:ascii="Arial" w:hAnsi="Arial" w:cs="Arial"/>
          <w:b/>
          <w:bCs/>
          <w:lang w:val="el-GR"/>
        </w:rPr>
        <w:t>ετοιμασία σχετικής επιστολής προς το Υπουργείο Εσωτερικών, η οποία θα περιλαμβάνει συγκεκριμένες εισηγήσεις για τροποποίηση της νομοθεσίας, ώστε να δημιουργηθούν τα κατάλληλα εργαλεία, με στόχο την ενδεχόμενη αποτροπή τέτοιων φαινομένων.</w:t>
      </w:r>
    </w:p>
    <w:p w14:paraId="731FAF8E" w14:textId="77777777" w:rsidR="006A09A2" w:rsidRPr="00714A8D" w:rsidRDefault="006A09A2" w:rsidP="00714A8D">
      <w:pPr>
        <w:pStyle w:val="BodyA"/>
        <w:spacing w:line="276" w:lineRule="auto"/>
        <w:ind w:left="1134" w:right="1128"/>
        <w:jc w:val="both"/>
        <w:rPr>
          <w:rFonts w:ascii="Arial" w:hAnsi="Arial" w:cs="Arial"/>
          <w:lang w:val="el-GR"/>
        </w:rPr>
      </w:pPr>
    </w:p>
    <w:p w14:paraId="70A50970" w14:textId="77777777" w:rsidR="006A09A2" w:rsidRPr="00714A8D" w:rsidRDefault="006A09A2" w:rsidP="00714A8D">
      <w:pPr>
        <w:pStyle w:val="BodyA"/>
        <w:numPr>
          <w:ilvl w:val="0"/>
          <w:numId w:val="1"/>
        </w:numPr>
        <w:spacing w:line="276" w:lineRule="auto"/>
        <w:ind w:left="1440" w:right="1128"/>
        <w:jc w:val="both"/>
        <w:rPr>
          <w:rFonts w:ascii="Arial" w:hAnsi="Arial" w:cs="Arial"/>
          <w:lang w:val="el-GR"/>
        </w:rPr>
      </w:pPr>
      <w:r w:rsidRPr="00714A8D">
        <w:rPr>
          <w:rFonts w:ascii="Arial" w:hAnsi="Arial" w:cs="Arial"/>
          <w:lang w:val="el-GR"/>
        </w:rPr>
        <w:t xml:space="preserve">Η έγκριση για τον τύπο κατασκευής του σκελετού πραγματοποιείται στο στάδιο της άδειας οικοδομής και όχι της πολεοδομικής άδειας. Συνεπώς, αναφορές περί ανάγκης εξασφάλισης τροποποιητικής πολεοδομικής άδειας για μεταλλικό σκελετό δεν συνάδουν με το ισχύον θεσμικό πλαίσιο. </w:t>
      </w:r>
    </w:p>
    <w:p w14:paraId="7D0CE7A5" w14:textId="77777777" w:rsidR="006A09A2" w:rsidRPr="00714A8D" w:rsidRDefault="006A09A2" w:rsidP="00714A8D">
      <w:pPr>
        <w:pStyle w:val="BodyA"/>
        <w:spacing w:line="276" w:lineRule="auto"/>
        <w:ind w:left="1134" w:right="1128"/>
        <w:jc w:val="both"/>
        <w:rPr>
          <w:rFonts w:ascii="Arial" w:hAnsi="Arial" w:cs="Arial"/>
          <w:lang w:val="el-GR"/>
        </w:rPr>
      </w:pPr>
    </w:p>
    <w:p w14:paraId="1D0F9A6F" w14:textId="5AAB172D" w:rsidR="006A09A2" w:rsidRPr="00714A8D" w:rsidRDefault="006A09A2" w:rsidP="00714A8D">
      <w:pPr>
        <w:pStyle w:val="BodyA"/>
        <w:numPr>
          <w:ilvl w:val="0"/>
          <w:numId w:val="1"/>
        </w:numPr>
        <w:spacing w:line="276" w:lineRule="auto"/>
        <w:ind w:left="1440" w:right="1128"/>
        <w:jc w:val="both"/>
        <w:rPr>
          <w:rFonts w:ascii="Arial" w:hAnsi="Arial" w:cs="Arial"/>
          <w:lang w:val="el-GR"/>
        </w:rPr>
      </w:pPr>
      <w:r w:rsidRPr="00714A8D">
        <w:rPr>
          <w:rFonts w:ascii="Arial" w:hAnsi="Arial" w:cs="Arial"/>
          <w:lang w:val="el-GR"/>
        </w:rPr>
        <w:t xml:space="preserve">Την ίδια στιγμή, η ευθύνη για τη στατική και δυναμική μελέτη ανήκει αποκλειστικά στους αρμόδιους μελετητές και όχι στην αρχή Οικοδομικής </w:t>
      </w:r>
      <w:proofErr w:type="spellStart"/>
      <w:r w:rsidRPr="00714A8D">
        <w:rPr>
          <w:rFonts w:ascii="Arial" w:hAnsi="Arial" w:cs="Arial"/>
          <w:lang w:val="el-GR"/>
        </w:rPr>
        <w:t>Αδειοδότησης</w:t>
      </w:r>
      <w:proofErr w:type="spellEnd"/>
      <w:r w:rsidRPr="00714A8D">
        <w:rPr>
          <w:rFonts w:ascii="Arial" w:hAnsi="Arial" w:cs="Arial"/>
          <w:lang w:val="el-GR"/>
        </w:rPr>
        <w:t>.</w:t>
      </w:r>
    </w:p>
    <w:p w14:paraId="7AA44A32" w14:textId="77777777" w:rsidR="006A09A2" w:rsidRPr="00714A8D" w:rsidRDefault="006A09A2" w:rsidP="00714A8D">
      <w:pPr>
        <w:pStyle w:val="BodyA"/>
        <w:spacing w:line="276" w:lineRule="auto"/>
        <w:ind w:left="1134" w:right="1128"/>
        <w:jc w:val="both"/>
        <w:rPr>
          <w:rFonts w:ascii="Arial" w:hAnsi="Arial" w:cs="Arial"/>
          <w:lang w:val="el-GR"/>
        </w:rPr>
      </w:pPr>
    </w:p>
    <w:p w14:paraId="0BBF5102" w14:textId="0E886CB7" w:rsidR="006A09A2" w:rsidRPr="00714A8D" w:rsidRDefault="006A09A2" w:rsidP="00714A8D">
      <w:pPr>
        <w:pStyle w:val="BodyA"/>
        <w:numPr>
          <w:ilvl w:val="0"/>
          <w:numId w:val="1"/>
        </w:numPr>
        <w:spacing w:line="276" w:lineRule="auto"/>
        <w:ind w:left="1440" w:right="1128"/>
        <w:jc w:val="both"/>
        <w:rPr>
          <w:rFonts w:ascii="Arial" w:hAnsi="Arial" w:cs="Arial"/>
          <w:lang w:val="el-GR"/>
        </w:rPr>
      </w:pPr>
      <w:r w:rsidRPr="00714A8D">
        <w:rPr>
          <w:rFonts w:ascii="Arial" w:hAnsi="Arial" w:cs="Arial"/>
          <w:lang w:val="el-GR"/>
        </w:rPr>
        <w:t>Σχετικά με τη χρήση του ακινήτου δεν υφίσταται οποιαδήποτε παρέκκλιση. Στην πολεοδομική ζώνη που εμπίπτει το τεμάχιο επιτρέπονται τόσο τα καταστήματα όσο και οι καφετέριες. Οι διαφοροποιήσεις μεταξύ των πολεοδομικών αδειών οφείλονται στο διαφορετικό αντικείμενο των αιτήσεων.</w:t>
      </w:r>
    </w:p>
    <w:p w14:paraId="4593827B" w14:textId="77777777" w:rsidR="006A09A2" w:rsidRPr="00714A8D" w:rsidRDefault="006A09A2" w:rsidP="00714A8D">
      <w:pPr>
        <w:pStyle w:val="BodyA"/>
        <w:spacing w:line="276" w:lineRule="auto"/>
        <w:ind w:left="1134" w:right="1128"/>
        <w:jc w:val="both"/>
        <w:rPr>
          <w:rFonts w:ascii="Arial" w:hAnsi="Arial" w:cs="Arial"/>
          <w:lang w:val="el-GR"/>
        </w:rPr>
      </w:pPr>
    </w:p>
    <w:p w14:paraId="79E3F733" w14:textId="3AFE4EF1" w:rsidR="006A09A2" w:rsidRPr="00714A8D" w:rsidRDefault="006A09A2" w:rsidP="00714A8D">
      <w:pPr>
        <w:pStyle w:val="BodyA"/>
        <w:numPr>
          <w:ilvl w:val="0"/>
          <w:numId w:val="1"/>
        </w:numPr>
        <w:spacing w:line="276" w:lineRule="auto"/>
        <w:ind w:left="1440" w:right="1128"/>
        <w:jc w:val="both"/>
        <w:rPr>
          <w:rFonts w:ascii="Arial" w:hAnsi="Arial" w:cs="Arial"/>
          <w:lang w:val="el-GR"/>
        </w:rPr>
      </w:pPr>
      <w:r w:rsidRPr="00714A8D">
        <w:rPr>
          <w:rFonts w:ascii="Arial" w:hAnsi="Arial" w:cs="Arial"/>
          <w:lang w:val="el-GR"/>
        </w:rPr>
        <w:t xml:space="preserve">Η νομοθεσία προβλέπει σαφείς διαδικασίες για ανανέωση και επανέκδοση των αδειών οικοδομής. Οι Άδειες Οικοδομής διατηρούν την ισχύ τους για όσο χρονικό διάστημα παραμένουν ενεργές οι Πολεοδομικές, οι οποίες </w:t>
      </w:r>
      <w:proofErr w:type="spellStart"/>
      <w:r w:rsidRPr="00714A8D">
        <w:rPr>
          <w:rFonts w:ascii="Arial" w:hAnsi="Arial" w:cs="Arial"/>
          <w:lang w:val="el-GR"/>
        </w:rPr>
        <w:t>διέπονται</w:t>
      </w:r>
      <w:proofErr w:type="spellEnd"/>
      <w:r w:rsidRPr="00714A8D">
        <w:rPr>
          <w:rFonts w:ascii="Arial" w:hAnsi="Arial" w:cs="Arial"/>
          <w:lang w:val="el-GR"/>
        </w:rPr>
        <w:t xml:space="preserve"> από τον περί Πολεοδομίας και Χωροταξίας Νόμο καθώς και από τις Εγκυκλίους του Υπουργείου Εσωτερικών. Όσο υπάρχουν οι Άδειες σε ισχύ, οι εργασίες δύναται να συνεχίζονται και δε θεωρείται ότι υφίσταται καθεστώς ημιτελούς ανάπτυξης. </w:t>
      </w:r>
    </w:p>
    <w:p w14:paraId="398F4EF2" w14:textId="77777777" w:rsidR="006A09A2" w:rsidRPr="00714A8D" w:rsidRDefault="006A09A2" w:rsidP="00714A8D">
      <w:pPr>
        <w:pStyle w:val="BodyA"/>
        <w:spacing w:line="276" w:lineRule="auto"/>
        <w:ind w:left="1134" w:right="1128"/>
        <w:jc w:val="both"/>
        <w:rPr>
          <w:rFonts w:ascii="Arial" w:hAnsi="Arial" w:cs="Arial"/>
          <w:lang w:val="el-GR"/>
        </w:rPr>
      </w:pPr>
    </w:p>
    <w:p w14:paraId="49D477A6" w14:textId="35DA2688" w:rsidR="006A09A2" w:rsidRPr="00714A8D" w:rsidRDefault="006A09A2" w:rsidP="00714A8D">
      <w:pPr>
        <w:pStyle w:val="BodyA"/>
        <w:spacing w:line="276" w:lineRule="auto"/>
        <w:ind w:left="1440" w:right="1128"/>
        <w:jc w:val="both"/>
        <w:rPr>
          <w:rFonts w:ascii="Arial" w:hAnsi="Arial" w:cs="Arial"/>
          <w:lang w:val="el-GR"/>
        </w:rPr>
      </w:pPr>
      <w:r w:rsidRPr="00714A8D">
        <w:rPr>
          <w:rFonts w:ascii="Arial" w:hAnsi="Arial" w:cs="Arial"/>
          <w:lang w:val="el-GR"/>
        </w:rPr>
        <w:t xml:space="preserve">Επί του θέματος, ο ιδιοκτήτης έχει υποβάλει αίτηση για τροποποιητική άδεια Οικοδομής. Σεβόμενοι το Σύνταγμα και το κεκτημένο δικαίωμα του ιδιοκτήτη επί του σκελετού, ενδεδειγμένη λύση αποτελεί η ανανέωση της άδειας. </w:t>
      </w:r>
    </w:p>
    <w:p w14:paraId="7F0481AB" w14:textId="77777777" w:rsidR="006A09A2" w:rsidRPr="00714A8D" w:rsidRDefault="006A09A2" w:rsidP="00714A8D">
      <w:pPr>
        <w:pStyle w:val="BodyA"/>
        <w:spacing w:line="276" w:lineRule="auto"/>
        <w:ind w:left="1134" w:right="1128"/>
        <w:jc w:val="both"/>
        <w:rPr>
          <w:rFonts w:ascii="Arial" w:hAnsi="Arial" w:cs="Arial"/>
          <w:lang w:val="el-GR"/>
        </w:rPr>
      </w:pPr>
    </w:p>
    <w:p w14:paraId="70980250" w14:textId="77777777" w:rsidR="006A09A2" w:rsidRPr="006A09A2" w:rsidRDefault="006A09A2" w:rsidP="006A09A2">
      <w:pPr>
        <w:pStyle w:val="BodyA"/>
        <w:spacing w:line="276" w:lineRule="auto"/>
        <w:ind w:left="1134" w:right="1128"/>
        <w:jc w:val="both"/>
        <w:rPr>
          <w:rFonts w:ascii="Arial" w:hAnsi="Arial" w:cs="Arial"/>
          <w:sz w:val="24"/>
          <w:szCs w:val="24"/>
          <w:lang w:val="el-GR"/>
        </w:rPr>
      </w:pPr>
    </w:p>
    <w:sectPr w:rsidR="006A09A2" w:rsidRPr="006A09A2">
      <w:headerReference w:type="default" r:id="rId7"/>
      <w:footerReference w:type="default" r:id="rId8"/>
      <w:pgSz w:w="11900" w:h="16840"/>
      <w:pgMar w:top="1440" w:right="283" w:bottom="283" w:left="283"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579D" w14:textId="77777777" w:rsidR="0022568B" w:rsidRDefault="0022568B">
      <w:r>
        <w:separator/>
      </w:r>
    </w:p>
  </w:endnote>
  <w:endnote w:type="continuationSeparator" w:id="0">
    <w:p w14:paraId="65F4CAF3" w14:textId="77777777" w:rsidR="0022568B" w:rsidRDefault="0022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E527" w14:textId="77777777" w:rsidR="00680299" w:rsidRDefault="0068029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9488" w14:textId="77777777" w:rsidR="0022568B" w:rsidRDefault="0022568B">
      <w:r>
        <w:separator/>
      </w:r>
    </w:p>
  </w:footnote>
  <w:footnote w:type="continuationSeparator" w:id="0">
    <w:p w14:paraId="212077C8" w14:textId="77777777" w:rsidR="0022568B" w:rsidRDefault="0022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5F42" w14:textId="77777777" w:rsidR="00680299" w:rsidRDefault="00000000">
    <w:pPr>
      <w:pStyle w:val="HeaderFooter"/>
    </w:pPr>
    <w:r>
      <w:rPr>
        <w:noProof/>
      </w:rPr>
      <w:drawing>
        <wp:inline distT="0" distB="0" distL="0" distR="0" wp14:anchorId="1C49AD53" wp14:editId="518B08B1">
          <wp:extent cx="2397306" cy="660725"/>
          <wp:effectExtent l="0" t="0" r="0" b="0"/>
          <wp:docPr id="1109446074" name="officeArt object" descr="ΕΟΑλογοτυπο(κυριο).png"/>
          <wp:cNvGraphicFramePr/>
          <a:graphic xmlns:a="http://schemas.openxmlformats.org/drawingml/2006/main">
            <a:graphicData uri="http://schemas.openxmlformats.org/drawingml/2006/picture">
              <pic:pic xmlns:pic="http://schemas.openxmlformats.org/drawingml/2006/picture">
                <pic:nvPicPr>
                  <pic:cNvPr id="1073741826" name="ΕΟΑλογοτυπο(κυριο).png" descr="ΕΟΑλογοτυπο(κυριο).png"/>
                  <pic:cNvPicPr>
                    <a:picLocks noChangeAspect="1"/>
                  </pic:cNvPicPr>
                </pic:nvPicPr>
                <pic:blipFill>
                  <a:blip r:embed="rId1"/>
                  <a:stretch>
                    <a:fillRect/>
                  </a:stretch>
                </pic:blipFill>
                <pic:spPr>
                  <a:xfrm>
                    <a:off x="0" y="0"/>
                    <a:ext cx="2397306" cy="6607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530E"/>
    <w:multiLevelType w:val="hybridMultilevel"/>
    <w:tmpl w:val="FB908E2A"/>
    <w:lvl w:ilvl="0" w:tplc="10000001">
      <w:start w:val="1"/>
      <w:numFmt w:val="bullet"/>
      <w:lvlText w:val=""/>
      <w:lvlJc w:val="left"/>
      <w:pPr>
        <w:ind w:left="1494" w:hanging="360"/>
      </w:pPr>
      <w:rPr>
        <w:rFonts w:ascii="Symbol" w:hAnsi="Symbol" w:hint="default"/>
      </w:rPr>
    </w:lvl>
    <w:lvl w:ilvl="1" w:tplc="10000003" w:tentative="1">
      <w:start w:val="1"/>
      <w:numFmt w:val="bullet"/>
      <w:lvlText w:val="o"/>
      <w:lvlJc w:val="left"/>
      <w:pPr>
        <w:ind w:left="2214" w:hanging="360"/>
      </w:pPr>
      <w:rPr>
        <w:rFonts w:ascii="Courier New" w:hAnsi="Courier New" w:cs="Courier New" w:hint="default"/>
      </w:rPr>
    </w:lvl>
    <w:lvl w:ilvl="2" w:tplc="10000005" w:tentative="1">
      <w:start w:val="1"/>
      <w:numFmt w:val="bullet"/>
      <w:lvlText w:val=""/>
      <w:lvlJc w:val="left"/>
      <w:pPr>
        <w:ind w:left="2934" w:hanging="360"/>
      </w:pPr>
      <w:rPr>
        <w:rFonts w:ascii="Wingdings" w:hAnsi="Wingdings" w:hint="default"/>
      </w:rPr>
    </w:lvl>
    <w:lvl w:ilvl="3" w:tplc="10000001" w:tentative="1">
      <w:start w:val="1"/>
      <w:numFmt w:val="bullet"/>
      <w:lvlText w:val=""/>
      <w:lvlJc w:val="left"/>
      <w:pPr>
        <w:ind w:left="3654" w:hanging="360"/>
      </w:pPr>
      <w:rPr>
        <w:rFonts w:ascii="Symbol" w:hAnsi="Symbol" w:hint="default"/>
      </w:rPr>
    </w:lvl>
    <w:lvl w:ilvl="4" w:tplc="10000003" w:tentative="1">
      <w:start w:val="1"/>
      <w:numFmt w:val="bullet"/>
      <w:lvlText w:val="o"/>
      <w:lvlJc w:val="left"/>
      <w:pPr>
        <w:ind w:left="4374" w:hanging="360"/>
      </w:pPr>
      <w:rPr>
        <w:rFonts w:ascii="Courier New" w:hAnsi="Courier New" w:cs="Courier New" w:hint="default"/>
      </w:rPr>
    </w:lvl>
    <w:lvl w:ilvl="5" w:tplc="10000005" w:tentative="1">
      <w:start w:val="1"/>
      <w:numFmt w:val="bullet"/>
      <w:lvlText w:val=""/>
      <w:lvlJc w:val="left"/>
      <w:pPr>
        <w:ind w:left="5094" w:hanging="360"/>
      </w:pPr>
      <w:rPr>
        <w:rFonts w:ascii="Wingdings" w:hAnsi="Wingdings" w:hint="default"/>
      </w:rPr>
    </w:lvl>
    <w:lvl w:ilvl="6" w:tplc="10000001" w:tentative="1">
      <w:start w:val="1"/>
      <w:numFmt w:val="bullet"/>
      <w:lvlText w:val=""/>
      <w:lvlJc w:val="left"/>
      <w:pPr>
        <w:ind w:left="5814" w:hanging="360"/>
      </w:pPr>
      <w:rPr>
        <w:rFonts w:ascii="Symbol" w:hAnsi="Symbol" w:hint="default"/>
      </w:rPr>
    </w:lvl>
    <w:lvl w:ilvl="7" w:tplc="10000003" w:tentative="1">
      <w:start w:val="1"/>
      <w:numFmt w:val="bullet"/>
      <w:lvlText w:val="o"/>
      <w:lvlJc w:val="left"/>
      <w:pPr>
        <w:ind w:left="6534" w:hanging="360"/>
      </w:pPr>
      <w:rPr>
        <w:rFonts w:ascii="Courier New" w:hAnsi="Courier New" w:cs="Courier New" w:hint="default"/>
      </w:rPr>
    </w:lvl>
    <w:lvl w:ilvl="8" w:tplc="10000005" w:tentative="1">
      <w:start w:val="1"/>
      <w:numFmt w:val="bullet"/>
      <w:lvlText w:val=""/>
      <w:lvlJc w:val="left"/>
      <w:pPr>
        <w:ind w:left="7254" w:hanging="360"/>
      </w:pPr>
      <w:rPr>
        <w:rFonts w:ascii="Wingdings" w:hAnsi="Wingdings" w:hint="default"/>
      </w:rPr>
    </w:lvl>
  </w:abstractNum>
  <w:abstractNum w:abstractNumId="1" w15:restartNumberingAfterBreak="0">
    <w:nsid w:val="27BC7FD6"/>
    <w:multiLevelType w:val="hybridMultilevel"/>
    <w:tmpl w:val="0CD008F4"/>
    <w:lvl w:ilvl="0" w:tplc="10000001">
      <w:start w:val="1"/>
      <w:numFmt w:val="bullet"/>
      <w:lvlText w:val=""/>
      <w:lvlJc w:val="left"/>
      <w:pPr>
        <w:ind w:left="1854" w:hanging="360"/>
      </w:pPr>
      <w:rPr>
        <w:rFonts w:ascii="Symbol" w:hAnsi="Symbol" w:hint="default"/>
      </w:r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num w:numId="1" w16cid:durableId="545918647">
    <w:abstractNumId w:val="0"/>
  </w:num>
  <w:num w:numId="2" w16cid:durableId="63734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99"/>
    <w:rsid w:val="001955D6"/>
    <w:rsid w:val="0022568B"/>
    <w:rsid w:val="002A3A08"/>
    <w:rsid w:val="00330DEA"/>
    <w:rsid w:val="00394A81"/>
    <w:rsid w:val="0039515B"/>
    <w:rsid w:val="003A1A69"/>
    <w:rsid w:val="004A080F"/>
    <w:rsid w:val="004A67C8"/>
    <w:rsid w:val="005F2551"/>
    <w:rsid w:val="00680299"/>
    <w:rsid w:val="006A09A2"/>
    <w:rsid w:val="006B688F"/>
    <w:rsid w:val="00714A8D"/>
    <w:rsid w:val="008F4651"/>
    <w:rsid w:val="00902234"/>
    <w:rsid w:val="00931206"/>
    <w:rsid w:val="009422A8"/>
    <w:rsid w:val="009E34CE"/>
    <w:rsid w:val="00A12649"/>
    <w:rsid w:val="00A95DD8"/>
    <w:rsid w:val="00AD0430"/>
    <w:rsid w:val="00AF4BED"/>
    <w:rsid w:val="00B24043"/>
    <w:rsid w:val="00C662FD"/>
    <w:rsid w:val="00D1071F"/>
    <w:rsid w:val="00D229DE"/>
    <w:rsid w:val="00E11BEA"/>
    <w:rsid w:val="00E952BF"/>
    <w:rsid w:val="00EE1295"/>
    <w:rsid w:val="00F5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5CAE"/>
  <w15:docId w15:val="{ED019D19-8F10-4D54-BC03-D07916D5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330DEA"/>
    <w:pPr>
      <w:tabs>
        <w:tab w:val="center" w:pos="4513"/>
        <w:tab w:val="right" w:pos="9026"/>
      </w:tabs>
    </w:pPr>
  </w:style>
  <w:style w:type="character" w:customStyle="1" w:styleId="HeaderChar">
    <w:name w:val="Header Char"/>
    <w:basedOn w:val="DefaultParagraphFont"/>
    <w:link w:val="Header"/>
    <w:uiPriority w:val="99"/>
    <w:rsid w:val="00330DEA"/>
    <w:rPr>
      <w:sz w:val="24"/>
      <w:szCs w:val="24"/>
      <w:lang w:val="en-US" w:eastAsia="en-US"/>
    </w:rPr>
  </w:style>
  <w:style w:type="paragraph" w:styleId="Footer">
    <w:name w:val="footer"/>
    <w:basedOn w:val="Normal"/>
    <w:link w:val="FooterChar"/>
    <w:uiPriority w:val="99"/>
    <w:unhideWhenUsed/>
    <w:rsid w:val="00330DEA"/>
    <w:pPr>
      <w:tabs>
        <w:tab w:val="center" w:pos="4513"/>
        <w:tab w:val="right" w:pos="9026"/>
      </w:tabs>
    </w:pPr>
  </w:style>
  <w:style w:type="character" w:customStyle="1" w:styleId="FooterChar">
    <w:name w:val="Footer Char"/>
    <w:basedOn w:val="DefaultParagraphFont"/>
    <w:link w:val="Footer"/>
    <w:uiPriority w:val="99"/>
    <w:rsid w:val="00330D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1_Blank_Layout">
  <a:themeElements>
    <a:clrScheme name="21_Blank_Layout">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Blank_Layout">
      <a:majorFont>
        <a:latin typeface="Helvetica Neue"/>
        <a:ea typeface="Helvetica Neue"/>
        <a:cs typeface="Helvetica Neue"/>
      </a:majorFont>
      <a:minorFont>
        <a:latin typeface="Helvetica Neue"/>
        <a:ea typeface="Helvetica Neue"/>
        <a:cs typeface="Helvetica Neue"/>
      </a:minorFont>
    </a:fontScheme>
    <a:fmtScheme name="21_Blank_Layou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289</Words>
  <Characters>1922</Characters>
  <Application>Microsoft Office Word</Application>
  <DocSecurity>0</DocSecurity>
  <Lines>43</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 Paschalides</cp:lastModifiedBy>
  <cp:revision>4</cp:revision>
  <cp:lastPrinted>2026-03-26T10:52:00Z</cp:lastPrinted>
  <dcterms:created xsi:type="dcterms:W3CDTF">2026-03-26T10:40:00Z</dcterms:created>
  <dcterms:modified xsi:type="dcterms:W3CDTF">2026-03-26T10:55:00Z</dcterms:modified>
</cp:coreProperties>
</file>