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2061" w14:textId="77777777" w:rsidR="00862567" w:rsidRPr="00642EF7" w:rsidRDefault="00BA3968" w:rsidP="005721EC">
      <w:pPr>
        <w:spacing w:line="360" w:lineRule="auto"/>
        <w:ind w:right="-574"/>
        <w:jc w:val="center"/>
        <w:rPr>
          <w:rFonts w:ascii="Arial" w:hAnsi="Arial" w:cs="Arial"/>
          <w:sz w:val="22"/>
          <w:szCs w:val="22"/>
          <w:lang w:val="el-GR"/>
        </w:rPr>
      </w:pPr>
      <w:r w:rsidRPr="00642EF7">
        <w:rPr>
          <w:rFonts w:ascii="Arial" w:hAnsi="Arial" w:cs="Arial"/>
          <w:sz w:val="22"/>
          <w:szCs w:val="22"/>
          <w:lang w:val="el-GR"/>
        </w:rPr>
        <w:t xml:space="preserve">ΤΟ </w:t>
      </w:r>
      <w:r w:rsidR="00862567" w:rsidRPr="00642EF7">
        <w:rPr>
          <w:rFonts w:ascii="Arial" w:hAnsi="Arial" w:cs="Arial"/>
          <w:sz w:val="22"/>
          <w:szCs w:val="22"/>
          <w:lang w:val="el-GR"/>
        </w:rPr>
        <w:t>ΠΕΡΙ ΠΡΟΩΘΗΣΗΣ ΚΑΙ ΑΝΑΠΤΥΞΗΣ ΤΩΝ ΥΠΟΔΟΜΩΝ ΕΝΑΛΛΑΚΤΙΚΩΝ ΚΑΥΣΙΜΩΝ  (</w:t>
      </w:r>
      <w:r w:rsidR="00257CE7" w:rsidRPr="00642EF7">
        <w:rPr>
          <w:rFonts w:ascii="Arial" w:hAnsi="Arial" w:cs="Arial"/>
          <w:sz w:val="22"/>
          <w:szCs w:val="22"/>
          <w:lang w:val="el-GR"/>
        </w:rPr>
        <w:t>ΤΕΧΝΙΚΕΣ</w:t>
      </w:r>
      <w:r w:rsidR="00B804CF" w:rsidRPr="00642EF7">
        <w:rPr>
          <w:rFonts w:ascii="Arial" w:hAnsi="Arial" w:cs="Arial"/>
          <w:sz w:val="22"/>
          <w:szCs w:val="22"/>
          <w:lang w:val="el-GR"/>
        </w:rPr>
        <w:t xml:space="preserve"> ΑΠΑΙΤΗΣΕ</w:t>
      </w:r>
      <w:r w:rsidR="00257CE7" w:rsidRPr="00642EF7">
        <w:rPr>
          <w:rFonts w:ascii="Arial" w:hAnsi="Arial" w:cs="Arial"/>
          <w:sz w:val="22"/>
          <w:szCs w:val="22"/>
          <w:lang w:val="el-GR"/>
        </w:rPr>
        <w:t>ΙΣ</w:t>
      </w:r>
      <w:r w:rsidR="00B804CF" w:rsidRPr="00642EF7">
        <w:rPr>
          <w:rFonts w:ascii="Arial" w:hAnsi="Arial" w:cs="Arial"/>
          <w:sz w:val="22"/>
          <w:szCs w:val="22"/>
          <w:lang w:val="el-GR"/>
        </w:rPr>
        <w:t xml:space="preserve"> </w:t>
      </w:r>
      <w:r w:rsidR="00862567" w:rsidRPr="00642EF7">
        <w:rPr>
          <w:rFonts w:ascii="Arial" w:hAnsi="Arial" w:cs="Arial"/>
          <w:sz w:val="22"/>
          <w:szCs w:val="22"/>
          <w:lang w:val="el-GR"/>
        </w:rPr>
        <w:t xml:space="preserve">ΣΗΜΕΙΩΝ ΕΠΑΝΑΦΟΡΤΙΣΗΣ ΗΛΕΚΤΡΙΚΩΝ ΟΧΗΜΑΤΩΝ) </w:t>
      </w:r>
    </w:p>
    <w:p w14:paraId="0F53FDD6" w14:textId="7A99789A" w:rsidR="00DA4B8E" w:rsidRPr="00642EF7" w:rsidRDefault="00BA3968" w:rsidP="005721EC">
      <w:pPr>
        <w:spacing w:line="360" w:lineRule="auto"/>
        <w:ind w:right="-574"/>
        <w:jc w:val="center"/>
        <w:rPr>
          <w:rFonts w:ascii="Arial" w:hAnsi="Arial" w:cs="Arial"/>
          <w:sz w:val="22"/>
          <w:szCs w:val="22"/>
          <w:lang w:val="el-GR"/>
        </w:rPr>
      </w:pPr>
      <w:r w:rsidRPr="00642EF7">
        <w:rPr>
          <w:rFonts w:ascii="Arial" w:hAnsi="Arial" w:cs="Arial"/>
          <w:sz w:val="22"/>
          <w:szCs w:val="22"/>
          <w:lang w:val="el-GR"/>
        </w:rPr>
        <w:t>ΔΙΑΤΑΓΜΑ ΤΟΥ 20</w:t>
      </w:r>
      <w:r w:rsidR="003F67E0" w:rsidRPr="00642EF7">
        <w:rPr>
          <w:rFonts w:ascii="Arial" w:hAnsi="Arial" w:cs="Arial"/>
          <w:sz w:val="22"/>
          <w:szCs w:val="22"/>
          <w:lang w:val="el-GR"/>
        </w:rPr>
        <w:t>2</w:t>
      </w:r>
      <w:r w:rsidR="0069740A">
        <w:rPr>
          <w:rFonts w:ascii="Arial" w:hAnsi="Arial" w:cs="Arial"/>
          <w:sz w:val="22"/>
          <w:szCs w:val="22"/>
          <w:lang w:val="el-GR"/>
        </w:rPr>
        <w:t>2</w:t>
      </w:r>
    </w:p>
    <w:p w14:paraId="243DB0FE" w14:textId="77777777" w:rsidR="00AC2B4E" w:rsidRPr="00642EF7" w:rsidRDefault="00AC2B4E" w:rsidP="005721EC">
      <w:pPr>
        <w:spacing w:line="360" w:lineRule="auto"/>
        <w:ind w:right="-574"/>
        <w:jc w:val="center"/>
        <w:rPr>
          <w:rFonts w:ascii="Arial" w:hAnsi="Arial" w:cs="Arial"/>
          <w:sz w:val="22"/>
          <w:szCs w:val="22"/>
          <w:lang w:val="el-GR"/>
        </w:rPr>
      </w:pPr>
    </w:p>
    <w:p w14:paraId="6DBBC73A" w14:textId="3F8DBAE4" w:rsidR="00F21176" w:rsidRPr="00642EF7" w:rsidRDefault="00AC2B4E" w:rsidP="005721EC">
      <w:pPr>
        <w:spacing w:line="360" w:lineRule="auto"/>
        <w:jc w:val="center"/>
        <w:rPr>
          <w:rFonts w:ascii="Arial" w:hAnsi="Arial" w:cs="Arial"/>
          <w:sz w:val="22"/>
          <w:szCs w:val="22"/>
          <w:lang w:val="el-GR"/>
        </w:rPr>
      </w:pPr>
      <w:r w:rsidRPr="00642EF7">
        <w:rPr>
          <w:rFonts w:ascii="Arial" w:hAnsi="Arial" w:cs="Arial"/>
          <w:sz w:val="22"/>
          <w:szCs w:val="22"/>
          <w:lang w:val="el-GR"/>
        </w:rPr>
        <w:t xml:space="preserve">Διάταγμα δυνάμει του </w:t>
      </w:r>
      <w:r w:rsidR="008E2E1F" w:rsidRPr="00642EF7">
        <w:rPr>
          <w:rFonts w:ascii="Arial" w:hAnsi="Arial" w:cs="Arial"/>
          <w:sz w:val="22"/>
          <w:szCs w:val="22"/>
          <w:lang w:val="el-GR"/>
        </w:rPr>
        <w:t xml:space="preserve">εδαφίου (1) του </w:t>
      </w:r>
      <w:r w:rsidRPr="00642EF7">
        <w:rPr>
          <w:rFonts w:ascii="Arial" w:hAnsi="Arial" w:cs="Arial"/>
          <w:sz w:val="22"/>
          <w:szCs w:val="22"/>
          <w:lang w:val="el-GR"/>
        </w:rPr>
        <w:t xml:space="preserve">άρθρου </w:t>
      </w:r>
      <w:r w:rsidR="00862567" w:rsidRPr="00642EF7">
        <w:rPr>
          <w:rFonts w:ascii="Arial" w:hAnsi="Arial" w:cs="Arial"/>
          <w:sz w:val="22"/>
          <w:szCs w:val="22"/>
          <w:lang w:val="el-GR"/>
        </w:rPr>
        <w:t>29</w:t>
      </w:r>
      <w:r w:rsidR="00027470" w:rsidRPr="00642EF7">
        <w:rPr>
          <w:rFonts w:ascii="Arial" w:hAnsi="Arial" w:cs="Arial"/>
          <w:sz w:val="22"/>
          <w:szCs w:val="22"/>
          <w:lang w:val="el-GR"/>
        </w:rPr>
        <w:t xml:space="preserve"> </w:t>
      </w:r>
      <w:r w:rsidRPr="00642EF7">
        <w:rPr>
          <w:rFonts w:ascii="Arial" w:hAnsi="Arial" w:cs="Arial"/>
          <w:sz w:val="22"/>
          <w:szCs w:val="22"/>
          <w:lang w:val="el-GR"/>
        </w:rPr>
        <w:t>του Νόμου</w:t>
      </w:r>
    </w:p>
    <w:p w14:paraId="57D6FCCC" w14:textId="77777777" w:rsidR="00304C55" w:rsidRPr="00642EF7" w:rsidRDefault="00304C55" w:rsidP="005721EC">
      <w:pPr>
        <w:spacing w:line="360" w:lineRule="auto"/>
        <w:jc w:val="center"/>
        <w:rPr>
          <w:rFonts w:ascii="Arial" w:hAnsi="Arial" w:cs="Arial"/>
          <w:sz w:val="22"/>
          <w:szCs w:val="22"/>
          <w:lang w:val="el-GR"/>
        </w:rPr>
      </w:pPr>
    </w:p>
    <w:tbl>
      <w:tblPr>
        <w:tblpPr w:leftFromText="180" w:rightFromText="180" w:vertAnchor="text" w:tblpXSpec="center" w:tblpY="1"/>
        <w:tblOverlap w:val="never"/>
        <w:tblW w:w="9900" w:type="dxa"/>
        <w:shd w:val="clear" w:color="auto" w:fill="FFFFFF"/>
        <w:tblLook w:val="01E0" w:firstRow="1" w:lastRow="1" w:firstColumn="1" w:lastColumn="1" w:noHBand="0" w:noVBand="0"/>
      </w:tblPr>
      <w:tblGrid>
        <w:gridCol w:w="1898"/>
        <w:gridCol w:w="8002"/>
      </w:tblGrid>
      <w:tr w:rsidR="003E2786" w:rsidRPr="00694193" w14:paraId="32D540AD" w14:textId="77777777" w:rsidTr="001A6BC4">
        <w:trPr>
          <w:trHeight w:val="288"/>
        </w:trPr>
        <w:tc>
          <w:tcPr>
            <w:tcW w:w="1898" w:type="dxa"/>
            <w:shd w:val="clear" w:color="auto" w:fill="FFFFFF"/>
          </w:tcPr>
          <w:p w14:paraId="6DACFA58" w14:textId="77777777" w:rsidR="0025012B" w:rsidRPr="00642EF7" w:rsidRDefault="0025012B" w:rsidP="0025012B">
            <w:pPr>
              <w:spacing w:line="360" w:lineRule="auto"/>
              <w:rPr>
                <w:rFonts w:ascii="Arial" w:hAnsi="Arial" w:cs="Arial"/>
                <w:sz w:val="22"/>
                <w:szCs w:val="22"/>
                <w:lang w:val="el-GR"/>
              </w:rPr>
            </w:pPr>
            <w:r w:rsidRPr="00642EF7">
              <w:rPr>
                <w:rFonts w:ascii="Arial" w:hAnsi="Arial" w:cs="Arial"/>
                <w:sz w:val="22"/>
                <w:szCs w:val="22"/>
                <w:lang w:val="el-GR"/>
              </w:rPr>
              <w:t>Συνοπτικός τίτλος.</w:t>
            </w:r>
          </w:p>
          <w:p w14:paraId="200CF2D0" w14:textId="77777777" w:rsidR="0025012B" w:rsidRPr="00642EF7" w:rsidRDefault="0025012B" w:rsidP="0025012B">
            <w:pPr>
              <w:spacing w:line="360" w:lineRule="auto"/>
              <w:rPr>
                <w:rFonts w:ascii="Arial" w:hAnsi="Arial" w:cs="Arial"/>
                <w:sz w:val="22"/>
                <w:szCs w:val="22"/>
                <w:lang w:val="el-GR"/>
              </w:rPr>
            </w:pPr>
          </w:p>
          <w:p w14:paraId="2BCBDE52" w14:textId="77777777" w:rsidR="0025012B" w:rsidRPr="00642EF7" w:rsidRDefault="003F67E0" w:rsidP="003F67E0">
            <w:pPr>
              <w:spacing w:line="360" w:lineRule="auto"/>
              <w:rPr>
                <w:rFonts w:ascii="Arial" w:hAnsi="Arial" w:cs="Arial"/>
                <w:sz w:val="22"/>
                <w:szCs w:val="22"/>
                <w:lang w:val="el-GR"/>
              </w:rPr>
            </w:pPr>
            <w:r w:rsidRPr="00642EF7">
              <w:rPr>
                <w:rFonts w:ascii="Arial" w:hAnsi="Arial" w:cs="Arial"/>
                <w:sz w:val="22"/>
                <w:szCs w:val="22"/>
                <w:lang w:val="el-GR"/>
              </w:rPr>
              <w:t>59(Ι)/2017</w:t>
            </w:r>
          </w:p>
        </w:tc>
        <w:tc>
          <w:tcPr>
            <w:tcW w:w="8002" w:type="dxa"/>
            <w:shd w:val="clear" w:color="auto" w:fill="FFFFFF"/>
          </w:tcPr>
          <w:p w14:paraId="471CB193" w14:textId="16E9323D" w:rsidR="0025012B" w:rsidRPr="00642EF7" w:rsidRDefault="0025012B" w:rsidP="003F67E0">
            <w:pPr>
              <w:spacing w:line="360" w:lineRule="auto"/>
              <w:jc w:val="both"/>
              <w:rPr>
                <w:rFonts w:ascii="Arial" w:hAnsi="Arial" w:cs="Arial"/>
                <w:sz w:val="22"/>
                <w:szCs w:val="22"/>
                <w:lang w:val="el-GR"/>
              </w:rPr>
            </w:pPr>
            <w:r w:rsidRPr="00642EF7">
              <w:rPr>
                <w:rFonts w:ascii="Arial" w:hAnsi="Arial" w:cs="Arial"/>
                <w:sz w:val="22"/>
                <w:szCs w:val="22"/>
                <w:lang w:val="el-GR"/>
              </w:rPr>
              <w:t>Ο Υπουργός Μεταφορών, Επικοινωνών και Έργων, ασκώντας τις εξουσίες που</w:t>
            </w:r>
            <w:r w:rsidR="000111D4" w:rsidRPr="00642EF7">
              <w:rPr>
                <w:rFonts w:ascii="Arial" w:hAnsi="Arial" w:cs="Arial"/>
                <w:sz w:val="22"/>
                <w:szCs w:val="22"/>
                <w:lang w:val="el-GR"/>
              </w:rPr>
              <w:t xml:space="preserve"> του παρέχονται από το </w:t>
            </w:r>
            <w:r w:rsidR="008E2E1F" w:rsidRPr="00642EF7">
              <w:rPr>
                <w:rFonts w:ascii="Arial" w:hAnsi="Arial" w:cs="Arial"/>
                <w:sz w:val="22"/>
                <w:szCs w:val="22"/>
                <w:lang w:val="el-GR"/>
              </w:rPr>
              <w:t xml:space="preserve">εδάφιο (1) του </w:t>
            </w:r>
            <w:r w:rsidR="000111D4" w:rsidRPr="00642EF7">
              <w:rPr>
                <w:rFonts w:ascii="Arial" w:hAnsi="Arial" w:cs="Arial"/>
                <w:sz w:val="22"/>
                <w:szCs w:val="22"/>
                <w:lang w:val="el-GR"/>
              </w:rPr>
              <w:t>άρθρο</w:t>
            </w:r>
            <w:r w:rsidR="008E2E1F" w:rsidRPr="00642EF7">
              <w:rPr>
                <w:rFonts w:ascii="Arial" w:hAnsi="Arial" w:cs="Arial"/>
                <w:sz w:val="22"/>
                <w:szCs w:val="22"/>
                <w:lang w:val="el-GR"/>
              </w:rPr>
              <w:t>υ</w:t>
            </w:r>
            <w:r w:rsidR="000111D4" w:rsidRPr="00642EF7">
              <w:rPr>
                <w:rFonts w:ascii="Arial" w:hAnsi="Arial" w:cs="Arial"/>
                <w:sz w:val="22"/>
                <w:szCs w:val="22"/>
                <w:lang w:val="el-GR"/>
              </w:rPr>
              <w:t xml:space="preserve"> </w:t>
            </w:r>
            <w:r w:rsidR="003F67E0" w:rsidRPr="00642EF7">
              <w:rPr>
                <w:rFonts w:ascii="Arial" w:hAnsi="Arial" w:cs="Arial"/>
                <w:sz w:val="22"/>
                <w:szCs w:val="22"/>
                <w:lang w:val="el-GR"/>
              </w:rPr>
              <w:t>29</w:t>
            </w:r>
            <w:r w:rsidRPr="00642EF7">
              <w:rPr>
                <w:rFonts w:ascii="Arial" w:hAnsi="Arial" w:cs="Arial"/>
                <w:sz w:val="22"/>
                <w:szCs w:val="22"/>
                <w:lang w:val="el-GR"/>
              </w:rPr>
              <w:t xml:space="preserve"> </w:t>
            </w:r>
            <w:r w:rsidR="003F67E0" w:rsidRPr="00642EF7">
              <w:rPr>
                <w:rFonts w:ascii="Arial" w:hAnsi="Arial" w:cs="Arial"/>
                <w:sz w:val="22"/>
                <w:szCs w:val="22"/>
                <w:lang w:val="el-GR"/>
              </w:rPr>
              <w:t>του περί Προώθησης και Ανάπτυξης των Υποδομών Εναλλακτικών Καυσίμων Νόμου του 2017</w:t>
            </w:r>
            <w:r w:rsidRPr="00642EF7">
              <w:rPr>
                <w:rFonts w:ascii="Arial" w:hAnsi="Arial" w:cs="Arial"/>
                <w:sz w:val="22"/>
                <w:szCs w:val="22"/>
                <w:lang w:val="el-GR"/>
              </w:rPr>
              <w:t>, εκδίδει το ακόλουθο Διάταγμα.</w:t>
            </w:r>
          </w:p>
        </w:tc>
      </w:tr>
      <w:tr w:rsidR="003E2786" w:rsidRPr="00694193" w14:paraId="10E6A4B2" w14:textId="77777777" w:rsidTr="001A6BC4">
        <w:trPr>
          <w:trHeight w:val="288"/>
        </w:trPr>
        <w:tc>
          <w:tcPr>
            <w:tcW w:w="1898" w:type="dxa"/>
            <w:shd w:val="clear" w:color="auto" w:fill="FFFFFF"/>
          </w:tcPr>
          <w:p w14:paraId="3A1EF262" w14:textId="77777777" w:rsidR="00AC2B4E" w:rsidRPr="00642EF7" w:rsidRDefault="00AC2B4E" w:rsidP="00AC2B4E">
            <w:pPr>
              <w:spacing w:line="360" w:lineRule="auto"/>
              <w:jc w:val="right"/>
              <w:rPr>
                <w:rFonts w:ascii="Arial" w:hAnsi="Arial" w:cs="Arial"/>
                <w:sz w:val="22"/>
                <w:szCs w:val="22"/>
                <w:lang w:val="el-GR"/>
              </w:rPr>
            </w:pPr>
          </w:p>
        </w:tc>
        <w:tc>
          <w:tcPr>
            <w:tcW w:w="8002" w:type="dxa"/>
            <w:shd w:val="clear" w:color="auto" w:fill="FFFFFF"/>
          </w:tcPr>
          <w:p w14:paraId="504562A8" w14:textId="77777777" w:rsidR="00AC2B4E" w:rsidRPr="00642EF7" w:rsidRDefault="00AC2B4E" w:rsidP="005721EC">
            <w:pPr>
              <w:spacing w:line="360" w:lineRule="auto"/>
              <w:jc w:val="both"/>
              <w:rPr>
                <w:rFonts w:ascii="Arial" w:hAnsi="Arial" w:cs="Arial"/>
                <w:sz w:val="22"/>
                <w:szCs w:val="22"/>
                <w:lang w:val="el-GR"/>
              </w:rPr>
            </w:pPr>
          </w:p>
        </w:tc>
      </w:tr>
      <w:tr w:rsidR="003E2786" w:rsidRPr="00694193" w14:paraId="7CC24592" w14:textId="77777777" w:rsidTr="001A6BC4">
        <w:trPr>
          <w:trHeight w:val="288"/>
        </w:trPr>
        <w:tc>
          <w:tcPr>
            <w:tcW w:w="1898" w:type="dxa"/>
            <w:shd w:val="clear" w:color="auto" w:fill="FFFFFF"/>
          </w:tcPr>
          <w:p w14:paraId="7B48F616" w14:textId="77777777" w:rsidR="00653B32" w:rsidRPr="00642EF7" w:rsidRDefault="00653B32" w:rsidP="00653B32">
            <w:pPr>
              <w:spacing w:line="360" w:lineRule="auto"/>
              <w:rPr>
                <w:rFonts w:ascii="Arial" w:hAnsi="Arial" w:cs="Arial"/>
                <w:sz w:val="22"/>
                <w:szCs w:val="22"/>
                <w:lang w:val="el-GR"/>
              </w:rPr>
            </w:pPr>
            <w:r w:rsidRPr="00642EF7">
              <w:rPr>
                <w:rFonts w:ascii="Arial" w:hAnsi="Arial" w:cs="Arial"/>
                <w:sz w:val="22"/>
                <w:szCs w:val="22"/>
                <w:lang w:val="el-GR"/>
              </w:rPr>
              <w:t>Συνοπτικός τίτλος.</w:t>
            </w:r>
          </w:p>
          <w:p w14:paraId="39159763" w14:textId="77777777" w:rsidR="00653B32" w:rsidRPr="00642EF7" w:rsidRDefault="00653B32" w:rsidP="00653B32">
            <w:pPr>
              <w:spacing w:line="360" w:lineRule="auto"/>
              <w:rPr>
                <w:rFonts w:ascii="Arial" w:hAnsi="Arial" w:cs="Arial"/>
                <w:sz w:val="22"/>
                <w:szCs w:val="22"/>
                <w:lang w:val="el-GR"/>
              </w:rPr>
            </w:pPr>
          </w:p>
        </w:tc>
        <w:tc>
          <w:tcPr>
            <w:tcW w:w="8002" w:type="dxa"/>
            <w:shd w:val="clear" w:color="auto" w:fill="FFFFFF"/>
          </w:tcPr>
          <w:p w14:paraId="0C5D924D" w14:textId="531683B3"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t>1.  Το παρόν Διάταγμα θα αναφέρεται ως το περί Προώθησης και Ανάπτυξης των Υποδομών Εναλλακτικών Καυσίμων (Τεχνικές απαιτήσεις σημείων επαναφόρτισης ηλεκτρικών οχημάτων) Διάταγμα του 202</w:t>
            </w:r>
            <w:r w:rsidR="0069740A">
              <w:rPr>
                <w:rFonts w:ascii="Arial" w:hAnsi="Arial" w:cs="Arial"/>
                <w:sz w:val="22"/>
                <w:szCs w:val="22"/>
                <w:lang w:val="el-GR"/>
              </w:rPr>
              <w:t>2</w:t>
            </w:r>
            <w:r w:rsidRPr="00642EF7">
              <w:rPr>
                <w:rFonts w:ascii="Arial" w:hAnsi="Arial" w:cs="Arial"/>
                <w:sz w:val="22"/>
                <w:szCs w:val="22"/>
                <w:lang w:val="el-GR"/>
              </w:rPr>
              <w:t>.</w:t>
            </w:r>
          </w:p>
        </w:tc>
      </w:tr>
      <w:tr w:rsidR="003E2786" w:rsidRPr="00694193" w14:paraId="032283A7" w14:textId="77777777" w:rsidTr="001A6BC4">
        <w:trPr>
          <w:trHeight w:val="288"/>
        </w:trPr>
        <w:tc>
          <w:tcPr>
            <w:tcW w:w="1898" w:type="dxa"/>
            <w:shd w:val="clear" w:color="auto" w:fill="FFFFFF"/>
          </w:tcPr>
          <w:p w14:paraId="43F3FBAF" w14:textId="77777777" w:rsidR="00653B32" w:rsidRPr="00642EF7" w:rsidRDefault="00653B32" w:rsidP="00653B32">
            <w:pPr>
              <w:spacing w:line="360" w:lineRule="auto"/>
              <w:rPr>
                <w:rFonts w:ascii="Arial" w:hAnsi="Arial" w:cs="Arial"/>
                <w:sz w:val="22"/>
                <w:szCs w:val="22"/>
                <w:lang w:val="el-GR"/>
              </w:rPr>
            </w:pPr>
          </w:p>
        </w:tc>
        <w:tc>
          <w:tcPr>
            <w:tcW w:w="8002" w:type="dxa"/>
            <w:shd w:val="clear" w:color="auto" w:fill="FFFFFF"/>
          </w:tcPr>
          <w:p w14:paraId="020B35FB" w14:textId="77777777" w:rsidR="00653B32" w:rsidRPr="00642EF7" w:rsidRDefault="00653B32" w:rsidP="00653B32">
            <w:pPr>
              <w:spacing w:line="360" w:lineRule="auto"/>
              <w:jc w:val="both"/>
              <w:rPr>
                <w:rFonts w:ascii="Arial" w:hAnsi="Arial" w:cs="Arial"/>
                <w:sz w:val="22"/>
                <w:szCs w:val="22"/>
                <w:lang w:val="el-GR"/>
              </w:rPr>
            </w:pPr>
          </w:p>
        </w:tc>
      </w:tr>
      <w:tr w:rsidR="003E2786" w:rsidRPr="00694193" w14:paraId="7CA4D045" w14:textId="77777777" w:rsidTr="001A6BC4">
        <w:trPr>
          <w:trHeight w:val="288"/>
        </w:trPr>
        <w:tc>
          <w:tcPr>
            <w:tcW w:w="1898" w:type="dxa"/>
            <w:shd w:val="clear" w:color="auto" w:fill="FFFFFF"/>
          </w:tcPr>
          <w:p w14:paraId="5E214A40" w14:textId="77777777" w:rsidR="00653B32" w:rsidRPr="00642EF7" w:rsidRDefault="00653B32" w:rsidP="00653B32">
            <w:pPr>
              <w:spacing w:line="360" w:lineRule="auto"/>
              <w:rPr>
                <w:rFonts w:ascii="Arial" w:hAnsi="Arial" w:cs="Arial"/>
                <w:sz w:val="22"/>
                <w:szCs w:val="22"/>
                <w:lang w:val="el-GR"/>
              </w:rPr>
            </w:pPr>
            <w:r w:rsidRPr="00642EF7">
              <w:rPr>
                <w:rFonts w:ascii="Arial" w:hAnsi="Arial" w:cs="Arial"/>
                <w:sz w:val="22"/>
                <w:szCs w:val="22"/>
                <w:lang w:val="el-GR"/>
              </w:rPr>
              <w:t>Σκοπός</w:t>
            </w:r>
          </w:p>
        </w:tc>
        <w:tc>
          <w:tcPr>
            <w:tcW w:w="8002" w:type="dxa"/>
            <w:shd w:val="clear" w:color="auto" w:fill="FFFFFF"/>
          </w:tcPr>
          <w:p w14:paraId="3E2A6D03" w14:textId="1115DBC5" w:rsidR="00653B32" w:rsidRPr="00642EF7" w:rsidRDefault="00653B32" w:rsidP="005B671D">
            <w:pPr>
              <w:spacing w:line="360" w:lineRule="auto"/>
              <w:jc w:val="both"/>
              <w:rPr>
                <w:rFonts w:ascii="Arial" w:hAnsi="Arial" w:cs="Arial"/>
                <w:sz w:val="22"/>
                <w:szCs w:val="22"/>
                <w:lang w:val="el-GR"/>
              </w:rPr>
            </w:pPr>
            <w:r w:rsidRPr="00642EF7">
              <w:rPr>
                <w:rFonts w:ascii="Arial" w:hAnsi="Arial" w:cs="Arial"/>
                <w:sz w:val="22"/>
                <w:szCs w:val="22"/>
                <w:lang w:val="el-GR"/>
              </w:rPr>
              <w:t>2.  Σκοπός του παρόντος διατάγματος είναι ο καθορισμός των όρων, προϋποθέσεων και τεχνικών προδιαγραφών εγκατάστασης συσκευών επαναφόρτισης ηλεκτροκίνητων οχημάτων</w:t>
            </w:r>
            <w:r w:rsidR="006B28D4" w:rsidRPr="00642EF7">
              <w:rPr>
                <w:rFonts w:ascii="Arial" w:hAnsi="Arial" w:cs="Arial"/>
                <w:sz w:val="22"/>
                <w:szCs w:val="22"/>
                <w:lang w:val="el-GR"/>
              </w:rPr>
              <w:t>.</w:t>
            </w:r>
            <w:r w:rsidRPr="00642EF7">
              <w:rPr>
                <w:rFonts w:ascii="Arial" w:hAnsi="Arial" w:cs="Arial"/>
                <w:sz w:val="22"/>
                <w:szCs w:val="22"/>
                <w:lang w:val="el-GR"/>
              </w:rPr>
              <w:t xml:space="preserve"> </w:t>
            </w:r>
          </w:p>
        </w:tc>
      </w:tr>
      <w:tr w:rsidR="003E2786" w:rsidRPr="00694193" w14:paraId="0B0DFE86" w14:textId="77777777" w:rsidTr="00983881">
        <w:trPr>
          <w:trHeight w:val="121"/>
        </w:trPr>
        <w:tc>
          <w:tcPr>
            <w:tcW w:w="1898" w:type="dxa"/>
            <w:shd w:val="clear" w:color="auto" w:fill="FFFFFF"/>
          </w:tcPr>
          <w:p w14:paraId="59D6F282" w14:textId="77777777" w:rsidR="00653B32" w:rsidRPr="00642EF7" w:rsidRDefault="00653B32" w:rsidP="00653B32">
            <w:pPr>
              <w:spacing w:line="360" w:lineRule="auto"/>
              <w:rPr>
                <w:rFonts w:ascii="Arial" w:hAnsi="Arial" w:cs="Arial"/>
                <w:sz w:val="22"/>
                <w:szCs w:val="22"/>
                <w:lang w:val="el-GR"/>
              </w:rPr>
            </w:pPr>
          </w:p>
        </w:tc>
        <w:tc>
          <w:tcPr>
            <w:tcW w:w="8002" w:type="dxa"/>
            <w:shd w:val="clear" w:color="auto" w:fill="FFFFFF"/>
          </w:tcPr>
          <w:p w14:paraId="2622406B" w14:textId="77777777" w:rsidR="00653B32" w:rsidRPr="00642EF7" w:rsidRDefault="00653B32" w:rsidP="00653B32">
            <w:pPr>
              <w:spacing w:line="360" w:lineRule="auto"/>
              <w:jc w:val="both"/>
              <w:rPr>
                <w:rFonts w:ascii="Arial" w:hAnsi="Arial" w:cs="Arial"/>
                <w:sz w:val="22"/>
                <w:szCs w:val="22"/>
                <w:lang w:val="el-GR"/>
              </w:rPr>
            </w:pPr>
          </w:p>
        </w:tc>
      </w:tr>
      <w:tr w:rsidR="003E2786" w:rsidRPr="00694193" w14:paraId="171F8810" w14:textId="77777777" w:rsidTr="001A6BC4">
        <w:trPr>
          <w:trHeight w:val="288"/>
        </w:trPr>
        <w:tc>
          <w:tcPr>
            <w:tcW w:w="1898" w:type="dxa"/>
            <w:shd w:val="clear" w:color="auto" w:fill="FFFFFF"/>
          </w:tcPr>
          <w:p w14:paraId="32EA1041" w14:textId="77777777" w:rsidR="00653B32" w:rsidRPr="00642EF7" w:rsidRDefault="00653B32" w:rsidP="00653B32">
            <w:pPr>
              <w:spacing w:line="360" w:lineRule="auto"/>
              <w:rPr>
                <w:rFonts w:ascii="Arial" w:hAnsi="Arial" w:cs="Arial"/>
                <w:sz w:val="22"/>
                <w:szCs w:val="22"/>
                <w:lang w:val="el-GR"/>
              </w:rPr>
            </w:pPr>
            <w:r w:rsidRPr="00642EF7">
              <w:rPr>
                <w:rFonts w:ascii="Arial" w:hAnsi="Arial" w:cs="Arial"/>
                <w:sz w:val="22"/>
                <w:szCs w:val="22"/>
                <w:lang w:val="el-GR"/>
              </w:rPr>
              <w:t>Ερμηνεία.</w:t>
            </w:r>
          </w:p>
        </w:tc>
        <w:tc>
          <w:tcPr>
            <w:tcW w:w="8002" w:type="dxa"/>
            <w:shd w:val="clear" w:color="auto" w:fill="FFFFFF"/>
          </w:tcPr>
          <w:p w14:paraId="587E6295" w14:textId="26CC8732"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t>3.</w:t>
            </w:r>
            <w:r w:rsidR="006B7558" w:rsidRPr="00642EF7">
              <w:rPr>
                <w:rFonts w:ascii="Arial" w:hAnsi="Arial" w:cs="Arial"/>
                <w:sz w:val="22"/>
                <w:szCs w:val="22"/>
                <w:lang w:val="el-GR"/>
              </w:rPr>
              <w:t>—</w:t>
            </w:r>
            <w:r w:rsidRPr="00642EF7">
              <w:rPr>
                <w:rFonts w:ascii="Arial" w:hAnsi="Arial" w:cs="Arial"/>
                <w:sz w:val="22"/>
                <w:szCs w:val="22"/>
                <w:lang w:val="el-GR"/>
              </w:rPr>
              <w:t>(1) Για τους σκοπούς του παρόντος Διατάγματος, εκτός εάν από το κείμενο προκύπτει διαφορετική έννοια</w:t>
            </w:r>
            <w:r w:rsidR="006B28D4" w:rsidRPr="00642EF7">
              <w:rPr>
                <w:rFonts w:ascii="Arial" w:hAnsi="Arial" w:cs="Arial"/>
                <w:sz w:val="22"/>
                <w:szCs w:val="22"/>
                <w:lang w:val="el-GR"/>
              </w:rPr>
              <w:t>—</w:t>
            </w:r>
          </w:p>
          <w:p w14:paraId="0398C739" w14:textId="77777777" w:rsidR="00653B32" w:rsidRPr="00642EF7" w:rsidRDefault="00653B32" w:rsidP="00653B32">
            <w:pPr>
              <w:spacing w:line="360" w:lineRule="auto"/>
              <w:jc w:val="both"/>
              <w:rPr>
                <w:rFonts w:ascii="Arial" w:hAnsi="Arial" w:cs="Arial"/>
                <w:sz w:val="22"/>
                <w:szCs w:val="22"/>
                <w:lang w:val="el-GR"/>
              </w:rPr>
            </w:pPr>
          </w:p>
        </w:tc>
      </w:tr>
      <w:tr w:rsidR="003E2786" w:rsidRPr="00694193" w14:paraId="795BFC2A" w14:textId="77777777" w:rsidTr="001A6BC4">
        <w:trPr>
          <w:trHeight w:val="288"/>
        </w:trPr>
        <w:tc>
          <w:tcPr>
            <w:tcW w:w="1898" w:type="dxa"/>
            <w:shd w:val="clear" w:color="auto" w:fill="FFFFFF"/>
          </w:tcPr>
          <w:p w14:paraId="2FB383B0" w14:textId="77777777" w:rsidR="00653B32" w:rsidRPr="00642EF7" w:rsidRDefault="00653B32" w:rsidP="00653B32">
            <w:pPr>
              <w:spacing w:line="360" w:lineRule="auto"/>
              <w:rPr>
                <w:rFonts w:ascii="Arial" w:hAnsi="Arial" w:cs="Arial"/>
                <w:sz w:val="22"/>
                <w:szCs w:val="22"/>
                <w:lang w:val="el-GR"/>
              </w:rPr>
            </w:pPr>
          </w:p>
        </w:tc>
        <w:tc>
          <w:tcPr>
            <w:tcW w:w="8002" w:type="dxa"/>
            <w:vMerge w:val="restart"/>
            <w:shd w:val="clear" w:color="auto" w:fill="FFFFFF"/>
          </w:tcPr>
          <w:p w14:paraId="73389888" w14:textId="405FB9E1"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t xml:space="preserve">«Διαχειριστής Σημείου Επαναφόρτισης Ηλεκτρικού Οχήματος (ΔΣΕΗΟ)» σημαίνει το νομικό πρόσωπο που είναι υπεύθυνο για τη διαχείριση δημοσίως </w:t>
            </w:r>
            <w:proofErr w:type="spellStart"/>
            <w:r w:rsidRPr="00642EF7">
              <w:rPr>
                <w:rFonts w:ascii="Arial" w:hAnsi="Arial" w:cs="Arial"/>
                <w:sz w:val="22"/>
                <w:szCs w:val="22"/>
                <w:lang w:val="el-GR"/>
              </w:rPr>
              <w:t>προσβάσιμ</w:t>
            </w:r>
            <w:r w:rsidR="006B28D4" w:rsidRPr="00642EF7">
              <w:rPr>
                <w:rFonts w:ascii="Arial" w:hAnsi="Arial" w:cs="Arial"/>
                <w:sz w:val="22"/>
                <w:szCs w:val="22"/>
                <w:lang w:val="el-GR"/>
              </w:rPr>
              <w:t>ων</w:t>
            </w:r>
            <w:proofErr w:type="spellEnd"/>
            <w:r w:rsidRPr="00642EF7">
              <w:rPr>
                <w:rFonts w:ascii="Arial" w:hAnsi="Arial" w:cs="Arial"/>
                <w:sz w:val="22"/>
                <w:szCs w:val="22"/>
                <w:lang w:val="el-GR"/>
              </w:rPr>
              <w:t xml:space="preserve"> σημεί</w:t>
            </w:r>
            <w:r w:rsidR="006B28D4" w:rsidRPr="00642EF7">
              <w:rPr>
                <w:rFonts w:ascii="Arial" w:hAnsi="Arial" w:cs="Arial"/>
                <w:sz w:val="22"/>
                <w:szCs w:val="22"/>
                <w:lang w:val="el-GR"/>
              </w:rPr>
              <w:t>ων</w:t>
            </w:r>
            <w:r w:rsidRPr="00642EF7">
              <w:rPr>
                <w:rFonts w:ascii="Arial" w:hAnsi="Arial" w:cs="Arial"/>
                <w:sz w:val="22"/>
                <w:szCs w:val="22"/>
                <w:lang w:val="el-GR"/>
              </w:rPr>
              <w:t xml:space="preserve"> επαναφόρτισης </w:t>
            </w:r>
            <w:r w:rsidR="006B28D4" w:rsidRPr="00642EF7">
              <w:rPr>
                <w:lang w:val="el-GR"/>
              </w:rPr>
              <w:t xml:space="preserve"> </w:t>
            </w:r>
            <w:r w:rsidR="006B28D4" w:rsidRPr="00642EF7">
              <w:rPr>
                <w:rFonts w:ascii="Arial" w:hAnsi="Arial" w:cs="Arial"/>
                <w:sz w:val="22"/>
                <w:szCs w:val="22"/>
                <w:lang w:val="el-GR"/>
              </w:rPr>
              <w:t xml:space="preserve">η οποία δυνατό να αφορά την εμπορική διαχείριση </w:t>
            </w:r>
            <w:r w:rsidRPr="00642EF7">
              <w:rPr>
                <w:rFonts w:ascii="Arial" w:hAnsi="Arial" w:cs="Arial"/>
                <w:sz w:val="22"/>
                <w:szCs w:val="22"/>
                <w:lang w:val="el-GR"/>
              </w:rPr>
              <w:t>ή/και τη συντήρηση του σημείου αυτού</w:t>
            </w:r>
            <w:r w:rsidR="006B28D4" w:rsidRPr="00642EF7">
              <w:rPr>
                <w:rFonts w:ascii="Arial" w:hAnsi="Arial" w:cs="Arial"/>
                <w:sz w:val="22"/>
                <w:szCs w:val="22"/>
                <w:lang w:val="el-GR"/>
              </w:rPr>
              <w:t>˙</w:t>
            </w:r>
            <w:r w:rsidRPr="00642EF7">
              <w:rPr>
                <w:rFonts w:ascii="Arial" w:hAnsi="Arial" w:cs="Arial"/>
                <w:sz w:val="22"/>
                <w:szCs w:val="22"/>
                <w:lang w:val="el-GR"/>
              </w:rPr>
              <w:t xml:space="preserve"> </w:t>
            </w:r>
          </w:p>
          <w:p w14:paraId="2188E1CE" w14:textId="77777777" w:rsidR="00B641E2" w:rsidRPr="00642EF7" w:rsidRDefault="00B641E2" w:rsidP="00653B32">
            <w:pPr>
              <w:spacing w:line="360" w:lineRule="auto"/>
              <w:jc w:val="both"/>
              <w:rPr>
                <w:rFonts w:ascii="Arial" w:hAnsi="Arial" w:cs="Arial"/>
                <w:sz w:val="22"/>
                <w:szCs w:val="22"/>
                <w:lang w:val="el-GR"/>
              </w:rPr>
            </w:pPr>
          </w:p>
          <w:p w14:paraId="4E275911" w14:textId="028DB556"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t xml:space="preserve">«Νόμος» σημαίνει τον περί Προώθησης και Ανάπτυξης των Υποδομών Εναλλακτικών Καυσίμων Νόμο του 2017, όπως </w:t>
            </w:r>
            <w:r w:rsidR="006B28D4" w:rsidRPr="00642EF7">
              <w:rPr>
                <w:rFonts w:ascii="Arial" w:hAnsi="Arial" w:cs="Arial"/>
                <w:sz w:val="22"/>
                <w:szCs w:val="22"/>
                <w:lang w:val="el-GR"/>
              </w:rPr>
              <w:t xml:space="preserve">αυτός </w:t>
            </w:r>
            <w:r w:rsidRPr="00642EF7">
              <w:rPr>
                <w:rFonts w:ascii="Arial" w:hAnsi="Arial" w:cs="Arial"/>
                <w:sz w:val="22"/>
                <w:szCs w:val="22"/>
                <w:lang w:val="el-GR"/>
              </w:rPr>
              <w:t>εκάστοτε τροποποιείται ή αντικαθίσταται</w:t>
            </w:r>
            <w:r w:rsidR="006B28D4" w:rsidRPr="00642EF7">
              <w:rPr>
                <w:rFonts w:ascii="Arial" w:hAnsi="Arial" w:cs="Arial"/>
                <w:sz w:val="22"/>
                <w:szCs w:val="22"/>
                <w:lang w:val="el-GR"/>
              </w:rPr>
              <w:t>˙</w:t>
            </w:r>
          </w:p>
          <w:p w14:paraId="40128D2C" w14:textId="77777777" w:rsidR="00CB408E" w:rsidRDefault="00CB408E" w:rsidP="0008376E">
            <w:pPr>
              <w:spacing w:line="360" w:lineRule="auto"/>
              <w:jc w:val="both"/>
              <w:rPr>
                <w:rFonts w:ascii="Arial" w:hAnsi="Arial" w:cs="Arial"/>
                <w:sz w:val="22"/>
                <w:szCs w:val="22"/>
                <w:lang w:val="el-GR"/>
              </w:rPr>
            </w:pPr>
          </w:p>
          <w:p w14:paraId="0F6EC50B" w14:textId="0903CD89" w:rsidR="0008376E" w:rsidRPr="00642EF7" w:rsidRDefault="00C62662" w:rsidP="0008376E">
            <w:pPr>
              <w:spacing w:line="360" w:lineRule="auto"/>
              <w:jc w:val="both"/>
              <w:rPr>
                <w:rFonts w:ascii="Arial" w:hAnsi="Arial" w:cs="Arial"/>
                <w:sz w:val="16"/>
                <w:szCs w:val="16"/>
                <w:lang w:val="el-GR"/>
              </w:rPr>
            </w:pPr>
            <w:r w:rsidRPr="00642EF7">
              <w:rPr>
                <w:rFonts w:ascii="Arial" w:hAnsi="Arial" w:cs="Arial"/>
                <w:sz w:val="22"/>
                <w:szCs w:val="22"/>
                <w:lang w:val="el-GR"/>
              </w:rPr>
              <w:t>«Σημείο Επαναφόρτισης</w:t>
            </w:r>
            <w:r w:rsidR="0008376E" w:rsidRPr="00642EF7">
              <w:rPr>
                <w:rFonts w:ascii="Arial" w:hAnsi="Arial" w:cs="Arial"/>
                <w:sz w:val="22"/>
                <w:szCs w:val="22"/>
                <w:lang w:val="el-GR"/>
              </w:rPr>
              <w:t xml:space="preserve"> (ΣΕ)»</w:t>
            </w:r>
            <w:r w:rsidRPr="00642EF7">
              <w:rPr>
                <w:rFonts w:ascii="Arial" w:hAnsi="Arial" w:cs="Arial"/>
                <w:sz w:val="22"/>
                <w:szCs w:val="22"/>
                <w:lang w:val="el-GR"/>
              </w:rPr>
              <w:t xml:space="preserve"> έχει την έννοια που αποδίδ</w:t>
            </w:r>
            <w:r w:rsidR="008A3716">
              <w:rPr>
                <w:rFonts w:ascii="Arial" w:hAnsi="Arial" w:cs="Arial"/>
                <w:sz w:val="22"/>
                <w:szCs w:val="22"/>
                <w:lang w:val="el-GR"/>
              </w:rPr>
              <w:t>εται στον όρο αυτό από τον Νόμο.</w:t>
            </w:r>
            <w:r w:rsidR="0008376E" w:rsidRPr="00642EF7">
              <w:rPr>
                <w:rFonts w:ascii="Arial" w:hAnsi="Arial" w:cs="Arial"/>
                <w:sz w:val="22"/>
                <w:szCs w:val="22"/>
                <w:lang w:val="el-GR"/>
              </w:rPr>
              <w:t xml:space="preserve"> </w:t>
            </w:r>
          </w:p>
          <w:p w14:paraId="4BFBD844" w14:textId="1358E487" w:rsidR="00C62662" w:rsidRPr="00642EF7" w:rsidRDefault="00C62662" w:rsidP="00C62662">
            <w:pPr>
              <w:spacing w:line="360" w:lineRule="auto"/>
              <w:jc w:val="both"/>
              <w:rPr>
                <w:rFonts w:ascii="Arial" w:hAnsi="Arial" w:cs="Arial"/>
                <w:sz w:val="22"/>
                <w:szCs w:val="22"/>
                <w:lang w:val="el-GR"/>
              </w:rPr>
            </w:pPr>
          </w:p>
          <w:p w14:paraId="01A6E325" w14:textId="117250AE"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t>«Σημείο Επαναφόρτισης Κανονικής Ισχύος (ΣΕΚΙ)» έχει την έννοια που αποδίδεται στο</w:t>
            </w:r>
            <w:r w:rsidR="006B28D4" w:rsidRPr="00642EF7">
              <w:rPr>
                <w:rFonts w:ascii="Arial" w:hAnsi="Arial" w:cs="Arial"/>
                <w:sz w:val="22"/>
                <w:szCs w:val="22"/>
                <w:lang w:val="el-GR"/>
              </w:rPr>
              <w:t xml:space="preserve">ν όρο αυτό </w:t>
            </w:r>
            <w:r w:rsidR="00AA2133" w:rsidRPr="00642EF7">
              <w:rPr>
                <w:rFonts w:ascii="Arial" w:hAnsi="Arial" w:cs="Arial"/>
                <w:sz w:val="22"/>
                <w:szCs w:val="22"/>
                <w:lang w:val="el-GR"/>
              </w:rPr>
              <w:t>από τον</w:t>
            </w:r>
            <w:r w:rsidRPr="00642EF7">
              <w:rPr>
                <w:rFonts w:ascii="Arial" w:hAnsi="Arial" w:cs="Arial"/>
                <w:sz w:val="22"/>
                <w:szCs w:val="22"/>
                <w:lang w:val="el-GR"/>
              </w:rPr>
              <w:t xml:space="preserve"> Νόμο</w:t>
            </w:r>
            <w:r w:rsidR="006B28D4" w:rsidRPr="00642EF7">
              <w:rPr>
                <w:rFonts w:ascii="Arial" w:hAnsi="Arial" w:cs="Arial"/>
                <w:sz w:val="22"/>
                <w:szCs w:val="22"/>
                <w:lang w:val="el-GR"/>
              </w:rPr>
              <w:t>∙</w:t>
            </w:r>
          </w:p>
          <w:p w14:paraId="7A64AA26" w14:textId="77777777" w:rsidR="00653B32" w:rsidRPr="00642EF7" w:rsidRDefault="00653B32" w:rsidP="00653B32">
            <w:pPr>
              <w:jc w:val="both"/>
              <w:rPr>
                <w:rFonts w:ascii="Arial" w:hAnsi="Arial" w:cs="Arial"/>
                <w:sz w:val="22"/>
                <w:szCs w:val="22"/>
                <w:lang w:val="el-GR"/>
              </w:rPr>
            </w:pPr>
          </w:p>
          <w:p w14:paraId="02E07E5A" w14:textId="698DCBAC"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lastRenderedPageBreak/>
              <w:t>«Σημείο Επαναφόρτισης Υψηλής Ισχύος (ΣΕΥΙ)» έχει την έννοια που αποδίδεται στο</w:t>
            </w:r>
            <w:r w:rsidR="006B28D4" w:rsidRPr="00642EF7">
              <w:rPr>
                <w:rFonts w:ascii="Arial" w:hAnsi="Arial" w:cs="Arial"/>
                <w:sz w:val="22"/>
                <w:szCs w:val="22"/>
                <w:lang w:val="el-GR"/>
              </w:rPr>
              <w:t xml:space="preserve">ν όρο αυτό </w:t>
            </w:r>
            <w:r w:rsidR="00AA2133" w:rsidRPr="00642EF7">
              <w:rPr>
                <w:rFonts w:ascii="Arial" w:hAnsi="Arial" w:cs="Arial"/>
                <w:sz w:val="22"/>
                <w:szCs w:val="22"/>
                <w:lang w:val="el-GR"/>
              </w:rPr>
              <w:t>από τον</w:t>
            </w:r>
            <w:r w:rsidR="006B28D4" w:rsidRPr="00642EF7">
              <w:rPr>
                <w:rFonts w:ascii="Arial" w:hAnsi="Arial" w:cs="Arial"/>
                <w:sz w:val="22"/>
                <w:szCs w:val="22"/>
                <w:lang w:val="el-GR"/>
              </w:rPr>
              <w:t xml:space="preserve"> </w:t>
            </w:r>
            <w:r w:rsidRPr="00642EF7">
              <w:rPr>
                <w:rFonts w:ascii="Arial" w:hAnsi="Arial" w:cs="Arial"/>
                <w:sz w:val="22"/>
                <w:szCs w:val="22"/>
                <w:lang w:val="el-GR"/>
              </w:rPr>
              <w:t>Νόμο</w:t>
            </w:r>
            <w:r w:rsidR="00490187" w:rsidRPr="00642EF7">
              <w:rPr>
                <w:rFonts w:ascii="Arial" w:hAnsi="Arial" w:cs="Arial"/>
                <w:sz w:val="22"/>
                <w:szCs w:val="22"/>
                <w:lang w:val="el-GR"/>
              </w:rPr>
              <w:t>.</w:t>
            </w:r>
          </w:p>
        </w:tc>
      </w:tr>
      <w:tr w:rsidR="003E2786" w:rsidRPr="00694193" w14:paraId="0EDDD2DA" w14:textId="77777777" w:rsidTr="001A6BC4">
        <w:trPr>
          <w:trHeight w:val="288"/>
        </w:trPr>
        <w:tc>
          <w:tcPr>
            <w:tcW w:w="1898" w:type="dxa"/>
            <w:shd w:val="clear" w:color="auto" w:fill="FFFFFF"/>
          </w:tcPr>
          <w:p w14:paraId="58E5BD50" w14:textId="77777777" w:rsidR="00653B32" w:rsidRPr="00642EF7" w:rsidRDefault="00653B32" w:rsidP="00653B32">
            <w:pPr>
              <w:spacing w:line="360" w:lineRule="auto"/>
              <w:jc w:val="both"/>
              <w:rPr>
                <w:rFonts w:ascii="Arial" w:hAnsi="Arial" w:cs="Arial"/>
                <w:sz w:val="22"/>
                <w:szCs w:val="22"/>
                <w:lang w:val="el-GR"/>
              </w:rPr>
            </w:pPr>
          </w:p>
        </w:tc>
        <w:tc>
          <w:tcPr>
            <w:tcW w:w="8002" w:type="dxa"/>
            <w:vMerge/>
            <w:shd w:val="clear" w:color="auto" w:fill="FFFFFF"/>
          </w:tcPr>
          <w:p w14:paraId="009C7FC2" w14:textId="77777777" w:rsidR="00653B32" w:rsidRPr="00642EF7" w:rsidRDefault="00653B32" w:rsidP="00653B32">
            <w:pPr>
              <w:spacing w:line="360" w:lineRule="auto"/>
              <w:jc w:val="both"/>
              <w:rPr>
                <w:rFonts w:ascii="Arial" w:hAnsi="Arial" w:cs="Arial"/>
                <w:sz w:val="22"/>
                <w:szCs w:val="22"/>
                <w:lang w:val="el-GR"/>
              </w:rPr>
            </w:pPr>
          </w:p>
        </w:tc>
      </w:tr>
      <w:tr w:rsidR="003E2786" w:rsidRPr="00694193" w14:paraId="246638BD" w14:textId="77777777" w:rsidTr="001A6BC4">
        <w:trPr>
          <w:trHeight w:val="288"/>
        </w:trPr>
        <w:tc>
          <w:tcPr>
            <w:tcW w:w="1898" w:type="dxa"/>
            <w:shd w:val="clear" w:color="auto" w:fill="FFFFFF"/>
          </w:tcPr>
          <w:p w14:paraId="6EEEB076" w14:textId="77777777" w:rsidR="00653B32" w:rsidRPr="00642EF7" w:rsidRDefault="00653B32" w:rsidP="00653B32">
            <w:pPr>
              <w:spacing w:line="360" w:lineRule="auto"/>
              <w:rPr>
                <w:rFonts w:ascii="Arial" w:hAnsi="Arial" w:cs="Arial"/>
                <w:sz w:val="22"/>
                <w:szCs w:val="22"/>
                <w:lang w:val="el-GR"/>
              </w:rPr>
            </w:pPr>
          </w:p>
        </w:tc>
        <w:tc>
          <w:tcPr>
            <w:tcW w:w="8002" w:type="dxa"/>
            <w:shd w:val="clear" w:color="auto" w:fill="FFFFFF"/>
          </w:tcPr>
          <w:p w14:paraId="55F49E35" w14:textId="77777777" w:rsidR="00653B32" w:rsidRPr="00642EF7" w:rsidRDefault="00653B32" w:rsidP="00653B32">
            <w:pPr>
              <w:spacing w:line="360" w:lineRule="auto"/>
              <w:jc w:val="both"/>
              <w:rPr>
                <w:rFonts w:ascii="Arial" w:hAnsi="Arial" w:cs="Arial"/>
                <w:sz w:val="22"/>
                <w:szCs w:val="22"/>
                <w:lang w:val="el-GR"/>
              </w:rPr>
            </w:pPr>
          </w:p>
        </w:tc>
      </w:tr>
      <w:tr w:rsidR="003E2786" w:rsidRPr="00694193" w14:paraId="49B6E5C1" w14:textId="77777777" w:rsidTr="001A6BC4">
        <w:trPr>
          <w:trHeight w:val="288"/>
        </w:trPr>
        <w:tc>
          <w:tcPr>
            <w:tcW w:w="1898" w:type="dxa"/>
            <w:shd w:val="clear" w:color="auto" w:fill="FFFFFF"/>
          </w:tcPr>
          <w:p w14:paraId="009B6A34" w14:textId="77777777" w:rsidR="00653B32" w:rsidRPr="00642EF7" w:rsidRDefault="00653B32" w:rsidP="00653B32">
            <w:pPr>
              <w:spacing w:line="360" w:lineRule="auto"/>
              <w:rPr>
                <w:rFonts w:ascii="Arial" w:hAnsi="Arial" w:cs="Arial"/>
                <w:sz w:val="22"/>
                <w:szCs w:val="22"/>
                <w:lang w:val="el-GR"/>
              </w:rPr>
            </w:pPr>
          </w:p>
        </w:tc>
        <w:tc>
          <w:tcPr>
            <w:tcW w:w="8002" w:type="dxa"/>
            <w:shd w:val="clear" w:color="auto" w:fill="FFFFFF"/>
          </w:tcPr>
          <w:p w14:paraId="65460190" w14:textId="425ADBBD" w:rsidR="00653B32" w:rsidRPr="00642EF7" w:rsidRDefault="00653B32" w:rsidP="00EB3B01">
            <w:pPr>
              <w:spacing w:line="360" w:lineRule="auto"/>
              <w:jc w:val="both"/>
              <w:rPr>
                <w:rFonts w:ascii="Arial" w:hAnsi="Arial" w:cs="Arial"/>
                <w:sz w:val="22"/>
                <w:szCs w:val="22"/>
                <w:lang w:val="el-GR"/>
              </w:rPr>
            </w:pPr>
            <w:r w:rsidRPr="00642EF7">
              <w:rPr>
                <w:rFonts w:ascii="Arial" w:hAnsi="Arial" w:cs="Arial"/>
                <w:sz w:val="22"/>
                <w:szCs w:val="22"/>
                <w:lang w:val="el-GR"/>
              </w:rPr>
              <w:t xml:space="preserve">  </w:t>
            </w:r>
            <w:r w:rsidR="003E750F" w:rsidRPr="00642EF7">
              <w:rPr>
                <w:rFonts w:ascii="Arial" w:hAnsi="Arial" w:cs="Arial"/>
                <w:sz w:val="22"/>
                <w:szCs w:val="22"/>
                <w:lang w:val="el-GR"/>
              </w:rPr>
              <w:t xml:space="preserve">    </w:t>
            </w:r>
            <w:r w:rsidRPr="00642EF7">
              <w:rPr>
                <w:rFonts w:ascii="Arial" w:hAnsi="Arial" w:cs="Arial"/>
                <w:sz w:val="22"/>
                <w:szCs w:val="22"/>
                <w:lang w:val="el-GR"/>
              </w:rPr>
              <w:t xml:space="preserve">(2) Όροι που δεν απαντώνται ειδικά στο παρόν Διάταγμα, έχουν την έννοια που αποδίδεται σε αυτούς </w:t>
            </w:r>
            <w:r w:rsidR="00EB3B01" w:rsidRPr="00642EF7">
              <w:rPr>
                <w:rFonts w:ascii="Arial" w:hAnsi="Arial" w:cs="Arial"/>
                <w:sz w:val="22"/>
                <w:szCs w:val="22"/>
                <w:lang w:val="el-GR"/>
              </w:rPr>
              <w:t>στο</w:t>
            </w:r>
            <w:r w:rsidRPr="00642EF7">
              <w:rPr>
                <w:rFonts w:ascii="Arial" w:hAnsi="Arial" w:cs="Arial"/>
                <w:sz w:val="22"/>
                <w:szCs w:val="22"/>
                <w:lang w:val="el-GR"/>
              </w:rPr>
              <w:t xml:space="preserve"> Νόμο.</w:t>
            </w:r>
          </w:p>
        </w:tc>
      </w:tr>
      <w:tr w:rsidR="003E2786" w:rsidRPr="00694193" w14:paraId="55832C9D" w14:textId="77777777" w:rsidTr="001A6BC4">
        <w:trPr>
          <w:trHeight w:val="216"/>
        </w:trPr>
        <w:tc>
          <w:tcPr>
            <w:tcW w:w="1898" w:type="dxa"/>
            <w:shd w:val="clear" w:color="auto" w:fill="FFFFFF"/>
          </w:tcPr>
          <w:p w14:paraId="0898E666" w14:textId="77777777" w:rsidR="00653B32" w:rsidRPr="00642EF7" w:rsidRDefault="00653B32" w:rsidP="00653B32">
            <w:pPr>
              <w:spacing w:line="360" w:lineRule="auto"/>
              <w:rPr>
                <w:rFonts w:ascii="Arial" w:hAnsi="Arial" w:cs="Arial"/>
                <w:sz w:val="22"/>
                <w:szCs w:val="22"/>
                <w:lang w:val="el-GR"/>
              </w:rPr>
            </w:pPr>
          </w:p>
        </w:tc>
        <w:tc>
          <w:tcPr>
            <w:tcW w:w="8002" w:type="dxa"/>
            <w:shd w:val="clear" w:color="auto" w:fill="FFFFFF"/>
          </w:tcPr>
          <w:p w14:paraId="6CCB7CE4" w14:textId="77777777" w:rsidR="00653B32" w:rsidRPr="00642EF7" w:rsidRDefault="00653B32" w:rsidP="00653B32">
            <w:pPr>
              <w:spacing w:line="360" w:lineRule="auto"/>
              <w:jc w:val="both"/>
              <w:rPr>
                <w:rFonts w:ascii="Arial" w:hAnsi="Arial" w:cs="Arial"/>
                <w:sz w:val="22"/>
                <w:szCs w:val="22"/>
                <w:lang w:val="el-GR"/>
              </w:rPr>
            </w:pPr>
          </w:p>
        </w:tc>
      </w:tr>
      <w:tr w:rsidR="003E2786" w:rsidRPr="00694193" w14:paraId="75E40292" w14:textId="77777777" w:rsidTr="001A6BC4">
        <w:trPr>
          <w:trHeight w:val="288"/>
        </w:trPr>
        <w:tc>
          <w:tcPr>
            <w:tcW w:w="1898" w:type="dxa"/>
            <w:shd w:val="clear" w:color="auto" w:fill="FFFFFF"/>
          </w:tcPr>
          <w:p w14:paraId="2453718E" w14:textId="77777777" w:rsidR="00653B32" w:rsidRPr="00642EF7" w:rsidRDefault="00653B32" w:rsidP="00653B32">
            <w:pPr>
              <w:spacing w:line="360" w:lineRule="auto"/>
              <w:rPr>
                <w:rFonts w:ascii="Arial" w:hAnsi="Arial" w:cs="Arial"/>
                <w:sz w:val="22"/>
                <w:szCs w:val="22"/>
                <w:lang w:val="el-GR"/>
              </w:rPr>
            </w:pPr>
            <w:r w:rsidRPr="00642EF7">
              <w:rPr>
                <w:rFonts w:ascii="Arial" w:hAnsi="Arial" w:cs="Arial"/>
                <w:sz w:val="22"/>
                <w:szCs w:val="22"/>
                <w:lang w:val="el-GR"/>
              </w:rPr>
              <w:t>Ηλεκτρολογική εγκατάσταση</w:t>
            </w:r>
          </w:p>
        </w:tc>
        <w:tc>
          <w:tcPr>
            <w:tcW w:w="8002" w:type="dxa"/>
            <w:shd w:val="clear" w:color="auto" w:fill="FFFFFF"/>
          </w:tcPr>
          <w:p w14:paraId="5EEB4926" w14:textId="434D1888" w:rsidR="00653B32" w:rsidRPr="00642EF7" w:rsidRDefault="00653B32" w:rsidP="00653B32">
            <w:pPr>
              <w:spacing w:line="360" w:lineRule="auto"/>
              <w:jc w:val="both"/>
              <w:rPr>
                <w:rFonts w:ascii="Arial" w:hAnsi="Arial" w:cs="Arial"/>
                <w:sz w:val="22"/>
                <w:szCs w:val="22"/>
                <w:lang w:val="el-GR"/>
              </w:rPr>
            </w:pPr>
            <w:r w:rsidRPr="00642EF7">
              <w:rPr>
                <w:rFonts w:ascii="Arial" w:hAnsi="Arial" w:cs="Arial"/>
                <w:sz w:val="22"/>
                <w:szCs w:val="22"/>
                <w:lang w:val="el-GR"/>
              </w:rPr>
              <w:t>4.</w:t>
            </w:r>
            <w:r w:rsidR="00850372" w:rsidRPr="00850372">
              <w:rPr>
                <w:rFonts w:ascii="Arial" w:hAnsi="Arial" w:cs="Arial"/>
                <w:sz w:val="22"/>
                <w:szCs w:val="22"/>
                <w:lang w:val="el-GR"/>
              </w:rPr>
              <w:t xml:space="preserve">   </w:t>
            </w:r>
            <w:r w:rsidRPr="00642EF7">
              <w:rPr>
                <w:rFonts w:ascii="Arial" w:hAnsi="Arial" w:cs="Arial"/>
                <w:sz w:val="22"/>
                <w:szCs w:val="22"/>
                <w:lang w:val="el-GR"/>
              </w:rPr>
              <w:t>Η ηλεκτρολογική μελέτη και η κατασκευή της ηλεκτρολογικής εγκατάστασης των σημείων επαναφόρτισης</w:t>
            </w:r>
            <w:r w:rsidR="0008376E" w:rsidRPr="00642EF7">
              <w:rPr>
                <w:rFonts w:ascii="Arial" w:hAnsi="Arial" w:cs="Arial"/>
                <w:sz w:val="22"/>
                <w:szCs w:val="22"/>
                <w:lang w:val="el-GR"/>
              </w:rPr>
              <w:t xml:space="preserve"> (ΣΕ)</w:t>
            </w:r>
            <w:r w:rsidRPr="00642EF7">
              <w:rPr>
                <w:rFonts w:ascii="Arial" w:hAnsi="Arial" w:cs="Arial"/>
                <w:sz w:val="22"/>
                <w:szCs w:val="22"/>
                <w:lang w:val="el-GR"/>
              </w:rPr>
              <w:t xml:space="preserve"> ηλεκτρικών οχημάτων συμμορφώνονται με τ</w:t>
            </w:r>
            <w:r w:rsidR="009A4B04" w:rsidRPr="00642EF7">
              <w:rPr>
                <w:rFonts w:ascii="Arial" w:hAnsi="Arial" w:cs="Arial"/>
                <w:sz w:val="22"/>
                <w:szCs w:val="22"/>
                <w:lang w:val="el-GR"/>
              </w:rPr>
              <w:t xml:space="preserve">ις απαιτήσεις του </w:t>
            </w:r>
            <w:r w:rsidRPr="00642EF7">
              <w:rPr>
                <w:rFonts w:ascii="Arial" w:hAnsi="Arial" w:cs="Arial"/>
                <w:sz w:val="22"/>
                <w:szCs w:val="22"/>
                <w:lang w:val="el-GR"/>
              </w:rPr>
              <w:t xml:space="preserve">περί Ηλεκτρισμού </w:t>
            </w:r>
            <w:r w:rsidR="006B28D4" w:rsidRPr="00642EF7">
              <w:rPr>
                <w:rFonts w:ascii="Arial" w:hAnsi="Arial" w:cs="Arial"/>
                <w:sz w:val="22"/>
                <w:szCs w:val="22"/>
                <w:lang w:val="el-GR"/>
              </w:rPr>
              <w:t>Νόμο</w:t>
            </w:r>
            <w:r w:rsidR="009A4B04" w:rsidRPr="00642EF7">
              <w:rPr>
                <w:rFonts w:ascii="Arial" w:hAnsi="Arial" w:cs="Arial"/>
                <w:sz w:val="22"/>
                <w:szCs w:val="22"/>
                <w:lang w:val="el-GR"/>
              </w:rPr>
              <w:t>υ</w:t>
            </w:r>
            <w:r w:rsidRPr="00642EF7">
              <w:rPr>
                <w:rFonts w:ascii="Arial" w:hAnsi="Arial" w:cs="Arial"/>
                <w:sz w:val="22"/>
                <w:szCs w:val="22"/>
                <w:lang w:val="el-GR"/>
              </w:rPr>
              <w:t xml:space="preserve">, όπως </w:t>
            </w:r>
            <w:r w:rsidR="006B28D4" w:rsidRPr="00642EF7">
              <w:rPr>
                <w:rFonts w:ascii="Arial" w:hAnsi="Arial" w:cs="Arial"/>
                <w:sz w:val="22"/>
                <w:szCs w:val="22"/>
                <w:lang w:val="el-GR"/>
              </w:rPr>
              <w:t xml:space="preserve">αυτός </w:t>
            </w:r>
            <w:r w:rsidRPr="00642EF7">
              <w:rPr>
                <w:rFonts w:ascii="Arial" w:hAnsi="Arial" w:cs="Arial"/>
                <w:sz w:val="22"/>
                <w:szCs w:val="22"/>
                <w:lang w:val="el-GR"/>
              </w:rPr>
              <w:t>εκάστοτε τροποποιείται ή αντικαθίσταται</w:t>
            </w:r>
            <w:r w:rsidR="006B28D4" w:rsidRPr="00642EF7">
              <w:rPr>
                <w:rFonts w:ascii="Arial" w:hAnsi="Arial" w:cs="Arial"/>
                <w:sz w:val="22"/>
                <w:szCs w:val="22"/>
                <w:lang w:val="el-GR"/>
              </w:rPr>
              <w:t>,</w:t>
            </w:r>
            <w:r w:rsidRPr="00642EF7">
              <w:rPr>
                <w:rFonts w:ascii="Arial" w:hAnsi="Arial" w:cs="Arial"/>
                <w:sz w:val="22"/>
                <w:szCs w:val="22"/>
                <w:lang w:val="el-GR"/>
              </w:rPr>
              <w:t xml:space="preserve"> καθώς και με </w:t>
            </w:r>
            <w:r w:rsidR="006B7558" w:rsidRPr="00642EF7">
              <w:rPr>
                <w:rFonts w:ascii="Arial" w:hAnsi="Arial" w:cs="Arial"/>
                <w:sz w:val="22"/>
                <w:szCs w:val="22"/>
                <w:lang w:val="el-GR"/>
              </w:rPr>
              <w:t xml:space="preserve">οποιουσδήποτε </w:t>
            </w:r>
            <w:r w:rsidR="009A4B04" w:rsidRPr="00642EF7">
              <w:rPr>
                <w:rFonts w:ascii="Arial" w:hAnsi="Arial" w:cs="Arial"/>
                <w:sz w:val="22"/>
                <w:szCs w:val="22"/>
                <w:lang w:val="el-GR"/>
              </w:rPr>
              <w:t xml:space="preserve">σχετικούς </w:t>
            </w:r>
            <w:r w:rsidR="006B28D4" w:rsidRPr="00642EF7">
              <w:rPr>
                <w:rFonts w:ascii="Arial" w:hAnsi="Arial" w:cs="Arial"/>
                <w:sz w:val="22"/>
                <w:szCs w:val="22"/>
                <w:lang w:val="el-GR"/>
              </w:rPr>
              <w:t xml:space="preserve">Κανονισμούς ή/και </w:t>
            </w:r>
            <w:r w:rsidRPr="00642EF7">
              <w:rPr>
                <w:rFonts w:ascii="Arial" w:hAnsi="Arial" w:cs="Arial"/>
                <w:sz w:val="22"/>
                <w:szCs w:val="22"/>
                <w:lang w:val="el-GR"/>
              </w:rPr>
              <w:t xml:space="preserve">Διατάγματα εκδίδονται </w:t>
            </w:r>
            <w:r w:rsidR="006B28D4" w:rsidRPr="00642EF7">
              <w:rPr>
                <w:rFonts w:ascii="Arial" w:hAnsi="Arial" w:cs="Arial"/>
                <w:sz w:val="22"/>
                <w:szCs w:val="22"/>
                <w:lang w:val="el-GR"/>
              </w:rPr>
              <w:t>δυνάμει αυτού</w:t>
            </w:r>
            <w:r w:rsidRPr="00642EF7">
              <w:rPr>
                <w:rFonts w:ascii="Arial" w:hAnsi="Arial" w:cs="Arial"/>
                <w:sz w:val="22"/>
                <w:szCs w:val="22"/>
                <w:lang w:val="el-GR"/>
              </w:rPr>
              <w:t xml:space="preserve">, εκτός </w:t>
            </w:r>
            <w:r w:rsidR="009A4B04" w:rsidRPr="00642EF7">
              <w:rPr>
                <w:rFonts w:ascii="Arial" w:hAnsi="Arial" w:cs="Arial"/>
                <w:sz w:val="22"/>
                <w:szCs w:val="22"/>
                <w:lang w:val="el-GR"/>
              </w:rPr>
              <w:t xml:space="preserve">και </w:t>
            </w:r>
            <w:r w:rsidRPr="00642EF7">
              <w:rPr>
                <w:rFonts w:ascii="Arial" w:hAnsi="Arial" w:cs="Arial"/>
                <w:sz w:val="22"/>
                <w:szCs w:val="22"/>
                <w:lang w:val="el-GR"/>
              </w:rPr>
              <w:t xml:space="preserve">εάν </w:t>
            </w:r>
            <w:r w:rsidR="006B7558" w:rsidRPr="00642EF7">
              <w:rPr>
                <w:rFonts w:ascii="Arial" w:hAnsi="Arial" w:cs="Arial"/>
                <w:sz w:val="22"/>
                <w:szCs w:val="22"/>
                <w:lang w:val="el-GR"/>
              </w:rPr>
              <w:t>καθ</w:t>
            </w:r>
            <w:r w:rsidRPr="00642EF7">
              <w:rPr>
                <w:rFonts w:ascii="Arial" w:hAnsi="Arial" w:cs="Arial"/>
                <w:sz w:val="22"/>
                <w:szCs w:val="22"/>
                <w:lang w:val="el-GR"/>
              </w:rPr>
              <w:t xml:space="preserve">ορίζεται διαφορετικά </w:t>
            </w:r>
            <w:r w:rsidR="008E2E1F" w:rsidRPr="00642EF7">
              <w:rPr>
                <w:rFonts w:ascii="Arial" w:hAnsi="Arial" w:cs="Arial"/>
                <w:sz w:val="22"/>
                <w:szCs w:val="22"/>
                <w:lang w:val="el-GR"/>
              </w:rPr>
              <w:t xml:space="preserve">από το </w:t>
            </w:r>
            <w:r w:rsidRPr="00642EF7">
              <w:rPr>
                <w:rFonts w:ascii="Arial" w:hAnsi="Arial" w:cs="Arial"/>
                <w:sz w:val="22"/>
                <w:szCs w:val="22"/>
                <w:lang w:val="el-GR"/>
              </w:rPr>
              <w:t>παρόν Διάταγμα.</w:t>
            </w:r>
          </w:p>
          <w:p w14:paraId="30382B5B" w14:textId="790C10BE" w:rsidR="0047533B" w:rsidRPr="00642EF7" w:rsidRDefault="0047533B" w:rsidP="00653B32">
            <w:pPr>
              <w:spacing w:line="360" w:lineRule="auto"/>
              <w:jc w:val="both"/>
              <w:rPr>
                <w:rFonts w:ascii="Arial" w:hAnsi="Arial" w:cs="Arial"/>
                <w:sz w:val="22"/>
                <w:szCs w:val="22"/>
                <w:lang w:val="el-GR"/>
              </w:rPr>
            </w:pPr>
          </w:p>
        </w:tc>
      </w:tr>
      <w:tr w:rsidR="003E2786" w:rsidRPr="00694193" w14:paraId="30E36461" w14:textId="77777777" w:rsidTr="001A6BC4">
        <w:trPr>
          <w:trHeight w:val="288"/>
        </w:trPr>
        <w:tc>
          <w:tcPr>
            <w:tcW w:w="1898" w:type="dxa"/>
            <w:shd w:val="clear" w:color="auto" w:fill="FFFFFF"/>
          </w:tcPr>
          <w:p w14:paraId="1AC85A7B" w14:textId="5C1C9381" w:rsidR="0047533B" w:rsidRPr="00642EF7" w:rsidRDefault="0047533B" w:rsidP="0047533B">
            <w:pPr>
              <w:spacing w:line="360" w:lineRule="auto"/>
              <w:rPr>
                <w:rFonts w:ascii="Arial" w:hAnsi="Arial" w:cs="Arial"/>
                <w:sz w:val="22"/>
                <w:szCs w:val="22"/>
                <w:lang w:val="el-GR"/>
              </w:rPr>
            </w:pPr>
            <w:r w:rsidRPr="00642EF7">
              <w:rPr>
                <w:rFonts w:ascii="Arial" w:hAnsi="Arial" w:cs="Arial"/>
                <w:sz w:val="22"/>
                <w:szCs w:val="22"/>
                <w:lang w:val="el-GR"/>
              </w:rPr>
              <w:t>Δημοσίως προσβάσιμα σημεία επαναφόρτισης για ηλεκτρικά οχήματα κατηγορίας L</w:t>
            </w:r>
          </w:p>
        </w:tc>
        <w:tc>
          <w:tcPr>
            <w:tcW w:w="8002" w:type="dxa"/>
            <w:shd w:val="clear" w:color="auto" w:fill="FFFFFF"/>
          </w:tcPr>
          <w:p w14:paraId="1343F38F" w14:textId="0D0D1059" w:rsidR="0047533B" w:rsidRPr="00642EF7" w:rsidRDefault="0047533B" w:rsidP="00B75246">
            <w:pPr>
              <w:spacing w:line="360" w:lineRule="auto"/>
              <w:jc w:val="both"/>
              <w:rPr>
                <w:rFonts w:ascii="Arial" w:hAnsi="Arial" w:cs="Arial"/>
                <w:sz w:val="22"/>
                <w:szCs w:val="22"/>
                <w:lang w:val="el-GR"/>
              </w:rPr>
            </w:pPr>
            <w:r w:rsidRPr="00642EF7">
              <w:rPr>
                <w:rFonts w:ascii="Arial" w:hAnsi="Arial" w:cs="Arial"/>
                <w:sz w:val="22"/>
                <w:szCs w:val="22"/>
                <w:lang w:val="el-GR"/>
              </w:rPr>
              <w:t xml:space="preserve">5.  </w:t>
            </w:r>
            <w:r w:rsidR="004A0171" w:rsidRPr="00642EF7">
              <w:rPr>
                <w:rFonts w:ascii="Arial" w:hAnsi="Arial" w:cs="Arial"/>
                <w:sz w:val="22"/>
                <w:szCs w:val="22"/>
                <w:lang w:val="el-GR"/>
              </w:rPr>
              <w:t>Για</w:t>
            </w:r>
            <w:r w:rsidRPr="00642EF7">
              <w:rPr>
                <w:rFonts w:ascii="Arial" w:hAnsi="Arial" w:cs="Arial"/>
                <w:sz w:val="22"/>
                <w:szCs w:val="22"/>
                <w:lang w:val="el-GR"/>
              </w:rPr>
              <w:t xml:space="preserve"> </w:t>
            </w:r>
            <w:r w:rsidR="004A0171" w:rsidRPr="00642EF7">
              <w:rPr>
                <w:rFonts w:ascii="Arial" w:hAnsi="Arial" w:cs="Arial"/>
                <w:sz w:val="22"/>
                <w:szCs w:val="22"/>
                <w:lang w:val="el-GR"/>
              </w:rPr>
              <w:t>κάθε</w:t>
            </w:r>
            <w:r w:rsidRPr="00642EF7">
              <w:rPr>
                <w:rFonts w:ascii="Arial" w:hAnsi="Arial" w:cs="Arial"/>
                <w:sz w:val="22"/>
                <w:szCs w:val="22"/>
                <w:lang w:val="el-GR"/>
              </w:rPr>
              <w:t xml:space="preserve"> δημοσί</w:t>
            </w:r>
            <w:r w:rsidR="004A0171" w:rsidRPr="00642EF7">
              <w:rPr>
                <w:rFonts w:ascii="Arial" w:hAnsi="Arial" w:cs="Arial"/>
                <w:sz w:val="22"/>
                <w:szCs w:val="22"/>
                <w:lang w:val="el-GR"/>
              </w:rPr>
              <w:t>ως</w:t>
            </w:r>
            <w:r w:rsidRPr="00642EF7">
              <w:rPr>
                <w:rFonts w:ascii="Arial" w:hAnsi="Arial" w:cs="Arial"/>
                <w:sz w:val="22"/>
                <w:szCs w:val="22"/>
                <w:lang w:val="el-GR"/>
              </w:rPr>
              <w:t xml:space="preserve"> </w:t>
            </w:r>
            <w:proofErr w:type="spellStart"/>
            <w:r w:rsidRPr="00642EF7">
              <w:rPr>
                <w:rFonts w:ascii="Arial" w:hAnsi="Arial" w:cs="Arial"/>
                <w:sz w:val="22"/>
                <w:szCs w:val="22"/>
                <w:lang w:val="el-GR"/>
              </w:rPr>
              <w:t>προσβάσιμ</w:t>
            </w:r>
            <w:r w:rsidR="004A0171" w:rsidRPr="00642EF7">
              <w:rPr>
                <w:rFonts w:ascii="Arial" w:hAnsi="Arial" w:cs="Arial"/>
                <w:sz w:val="22"/>
                <w:szCs w:val="22"/>
                <w:lang w:val="el-GR"/>
              </w:rPr>
              <w:t>ο</w:t>
            </w:r>
            <w:proofErr w:type="spellEnd"/>
            <w:r w:rsidRPr="00642EF7">
              <w:rPr>
                <w:rFonts w:ascii="Arial" w:hAnsi="Arial" w:cs="Arial"/>
                <w:sz w:val="22"/>
                <w:szCs w:val="22"/>
                <w:lang w:val="el-GR"/>
              </w:rPr>
              <w:t xml:space="preserve"> σημεί</w:t>
            </w:r>
            <w:r w:rsidR="004A0171" w:rsidRPr="00642EF7">
              <w:rPr>
                <w:rFonts w:ascii="Arial" w:hAnsi="Arial" w:cs="Arial"/>
                <w:sz w:val="22"/>
                <w:szCs w:val="22"/>
                <w:lang w:val="el-GR"/>
              </w:rPr>
              <w:t>ο</w:t>
            </w:r>
            <w:r w:rsidRPr="00642EF7">
              <w:rPr>
                <w:rFonts w:ascii="Arial" w:hAnsi="Arial" w:cs="Arial"/>
                <w:sz w:val="22"/>
                <w:szCs w:val="22"/>
                <w:lang w:val="el-GR"/>
              </w:rPr>
              <w:t xml:space="preserve"> επαναφόρτισης εναλλασσόμενου ρεύματος για ηλεκτρικά οχήματα της κατηγορίας L ισχύος μέχρι 3,7 </w:t>
            </w:r>
            <w:proofErr w:type="spellStart"/>
            <w:r w:rsidRPr="00642EF7">
              <w:rPr>
                <w:rFonts w:ascii="Arial" w:hAnsi="Arial" w:cs="Arial"/>
                <w:sz w:val="22"/>
                <w:szCs w:val="22"/>
                <w:lang w:val="el-GR"/>
              </w:rPr>
              <w:t>kVA</w:t>
            </w:r>
            <w:proofErr w:type="spellEnd"/>
            <w:r w:rsidRPr="00642EF7">
              <w:rPr>
                <w:rFonts w:ascii="Arial" w:hAnsi="Arial" w:cs="Arial"/>
                <w:sz w:val="22"/>
                <w:szCs w:val="22"/>
                <w:lang w:val="el-GR"/>
              </w:rPr>
              <w:t>, εφαρμόζονται οι διατάξεις του Κανονισμού (ΕΕ) 2019/1745 για τη συμπλήρωση της Οδηγίας 2014/94/ΕΕ</w:t>
            </w:r>
            <w:r w:rsidR="007A7735" w:rsidRPr="00642EF7">
              <w:rPr>
                <w:rFonts w:ascii="Arial" w:hAnsi="Arial" w:cs="Arial"/>
                <w:sz w:val="22"/>
                <w:szCs w:val="22"/>
                <w:lang w:val="el-GR"/>
              </w:rPr>
              <w:t xml:space="preserve">. Τόσο για αυτά τα ΣΕ όσο και για το ρευματολήπτη για τη διασύνδεση του οχήματος κατηγορίας </w:t>
            </w:r>
            <w:r w:rsidR="007A7735" w:rsidRPr="00642EF7">
              <w:rPr>
                <w:rFonts w:ascii="Arial" w:hAnsi="Arial" w:cs="Arial"/>
                <w:sz w:val="22"/>
                <w:szCs w:val="22"/>
                <w:lang w:val="en-GB"/>
              </w:rPr>
              <w:t>L</w:t>
            </w:r>
            <w:r w:rsidR="007A7735" w:rsidRPr="00642EF7">
              <w:rPr>
                <w:rFonts w:ascii="Arial" w:hAnsi="Arial" w:cs="Arial"/>
                <w:sz w:val="22"/>
                <w:szCs w:val="22"/>
                <w:lang w:val="el-GR"/>
              </w:rPr>
              <w:t xml:space="preserve"> με το σημείο φόρτισης θα πρέπει </w:t>
            </w:r>
            <w:r w:rsidR="00CD008A" w:rsidRPr="00642EF7">
              <w:rPr>
                <w:rFonts w:ascii="Arial" w:hAnsi="Arial" w:cs="Arial"/>
                <w:sz w:val="22"/>
                <w:szCs w:val="22"/>
                <w:lang w:val="el-GR"/>
              </w:rPr>
              <w:t>επιπρόσθετα</w:t>
            </w:r>
            <w:r w:rsidR="00B75246">
              <w:rPr>
                <w:rFonts w:ascii="Arial" w:hAnsi="Arial" w:cs="Arial"/>
                <w:sz w:val="22"/>
                <w:szCs w:val="22"/>
                <w:lang w:val="el-GR"/>
              </w:rPr>
              <w:t xml:space="preserve"> να εφαρμόζονται οι πρόνοιες </w:t>
            </w:r>
            <w:r w:rsidR="007A7735" w:rsidRPr="00642EF7">
              <w:rPr>
                <w:rFonts w:ascii="Arial" w:hAnsi="Arial" w:cs="Arial"/>
                <w:sz w:val="22"/>
                <w:szCs w:val="22"/>
                <w:lang w:val="el-GR"/>
              </w:rPr>
              <w:t xml:space="preserve">του </w:t>
            </w:r>
            <w:r w:rsidRPr="00642EF7">
              <w:rPr>
                <w:rFonts w:ascii="Arial" w:hAnsi="Arial" w:cs="Arial"/>
                <w:sz w:val="22"/>
                <w:szCs w:val="22"/>
                <w:lang w:val="el-GR"/>
              </w:rPr>
              <w:t>περί Ηλεκτρισμού Νόμο</w:t>
            </w:r>
            <w:r w:rsidR="007A7735" w:rsidRPr="00642EF7">
              <w:rPr>
                <w:rFonts w:ascii="Arial" w:hAnsi="Arial" w:cs="Arial"/>
                <w:sz w:val="22"/>
                <w:szCs w:val="22"/>
                <w:lang w:val="el-GR"/>
              </w:rPr>
              <w:t>υ</w:t>
            </w:r>
            <w:r w:rsidRPr="00642EF7">
              <w:rPr>
                <w:rFonts w:ascii="Arial" w:hAnsi="Arial" w:cs="Arial"/>
                <w:sz w:val="22"/>
                <w:szCs w:val="22"/>
                <w:lang w:val="el-GR"/>
              </w:rPr>
              <w:t xml:space="preserve">, όπως αυτός εκάστοτε τροποποιείται ή αντικαθίσταται καθώς και με </w:t>
            </w:r>
            <w:r w:rsidRPr="00642EF7">
              <w:rPr>
                <w:lang w:val="el-GR"/>
              </w:rPr>
              <w:t xml:space="preserve"> </w:t>
            </w:r>
            <w:r w:rsidRPr="00642EF7">
              <w:rPr>
                <w:rFonts w:ascii="Arial" w:hAnsi="Arial" w:cs="Arial"/>
                <w:sz w:val="22"/>
                <w:szCs w:val="22"/>
                <w:lang w:val="el-GR"/>
              </w:rPr>
              <w:t>οποιουσδήποτε Κανονισμούς ή/και Διατάγματα εκδίδονται δυνάμει αυτού.</w:t>
            </w:r>
            <w:r w:rsidR="00141C77" w:rsidRPr="00642EF7">
              <w:rPr>
                <w:rFonts w:ascii="Arial" w:hAnsi="Arial" w:cs="Arial"/>
                <w:sz w:val="22"/>
                <w:szCs w:val="22"/>
                <w:lang w:val="el-GR"/>
              </w:rPr>
              <w:t xml:space="preserve"> </w:t>
            </w:r>
          </w:p>
        </w:tc>
      </w:tr>
      <w:tr w:rsidR="003E2786" w:rsidRPr="00694193" w14:paraId="24FFAC35" w14:textId="77777777" w:rsidTr="001A6BC4">
        <w:trPr>
          <w:trHeight w:val="288"/>
        </w:trPr>
        <w:tc>
          <w:tcPr>
            <w:tcW w:w="1898" w:type="dxa"/>
            <w:shd w:val="clear" w:color="auto" w:fill="FFFFFF"/>
          </w:tcPr>
          <w:p w14:paraId="7A02A48E"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526FC5AF" w14:textId="01050374" w:rsidR="0047533B" w:rsidRPr="00642EF7" w:rsidRDefault="0047533B" w:rsidP="0047533B">
            <w:pPr>
              <w:spacing w:line="360" w:lineRule="auto"/>
              <w:jc w:val="both"/>
              <w:rPr>
                <w:rFonts w:ascii="Arial" w:hAnsi="Arial" w:cs="Arial"/>
                <w:sz w:val="22"/>
                <w:szCs w:val="22"/>
                <w:lang w:val="el-GR"/>
              </w:rPr>
            </w:pPr>
          </w:p>
        </w:tc>
      </w:tr>
      <w:tr w:rsidR="003E2786" w:rsidRPr="00694193" w14:paraId="2C3E8B4B" w14:textId="77777777" w:rsidTr="001A6BC4">
        <w:trPr>
          <w:trHeight w:val="288"/>
        </w:trPr>
        <w:tc>
          <w:tcPr>
            <w:tcW w:w="1898" w:type="dxa"/>
            <w:shd w:val="clear" w:color="auto" w:fill="FFFFFF"/>
          </w:tcPr>
          <w:p w14:paraId="662C44C0" w14:textId="04A31C9A" w:rsidR="0047533B" w:rsidRPr="00642EF7" w:rsidRDefault="0047533B" w:rsidP="0047533B">
            <w:pPr>
              <w:spacing w:line="360" w:lineRule="auto"/>
              <w:rPr>
                <w:rFonts w:ascii="Arial" w:hAnsi="Arial" w:cs="Arial"/>
                <w:sz w:val="22"/>
                <w:szCs w:val="22"/>
                <w:lang w:val="el-GR"/>
              </w:rPr>
            </w:pPr>
            <w:r w:rsidRPr="00642EF7">
              <w:rPr>
                <w:rFonts w:ascii="Arial" w:hAnsi="Arial" w:cs="Arial"/>
                <w:sz w:val="22"/>
                <w:szCs w:val="22"/>
                <w:lang w:val="el-GR"/>
              </w:rPr>
              <w:t>Απαιτήσεις για σημεία επαναφόρτισης  ηλεκτρικών αυτοκινήτων</w:t>
            </w:r>
          </w:p>
        </w:tc>
        <w:tc>
          <w:tcPr>
            <w:tcW w:w="8002" w:type="dxa"/>
            <w:shd w:val="clear" w:color="auto" w:fill="FFFFFF"/>
          </w:tcPr>
          <w:p w14:paraId="7D8A11A3" w14:textId="4938E678" w:rsidR="002927D8" w:rsidRPr="00642EF7" w:rsidRDefault="00DB6595" w:rsidP="002927D8">
            <w:pPr>
              <w:spacing w:line="360" w:lineRule="auto"/>
              <w:jc w:val="both"/>
              <w:rPr>
                <w:rFonts w:ascii="Arial" w:hAnsi="Arial" w:cs="Arial"/>
                <w:sz w:val="16"/>
                <w:szCs w:val="16"/>
                <w:lang w:val="el-GR"/>
              </w:rPr>
            </w:pPr>
            <w:r w:rsidRPr="00642EF7">
              <w:rPr>
                <w:rFonts w:ascii="Arial" w:hAnsi="Arial" w:cs="Arial"/>
                <w:sz w:val="22"/>
                <w:szCs w:val="22"/>
                <w:lang w:val="el-GR"/>
              </w:rPr>
              <w:t>6</w:t>
            </w:r>
            <w:r w:rsidR="0047533B" w:rsidRPr="00642EF7">
              <w:rPr>
                <w:rFonts w:ascii="Arial" w:hAnsi="Arial" w:cs="Arial"/>
                <w:sz w:val="22"/>
                <w:szCs w:val="22"/>
                <w:lang w:val="el-GR"/>
              </w:rPr>
              <w:t>.—(1) Οι αποδεκτές μέθοδοι επαναφόρτισης ηλεκτρικών αυτοκινήτων στα δημοσίως προσβάσιμα σημεία επαναφόρτισης,</w:t>
            </w:r>
            <w:r w:rsidR="002927D8">
              <w:rPr>
                <w:rFonts w:ascii="Arial" w:hAnsi="Arial" w:cs="Arial"/>
                <w:sz w:val="22"/>
                <w:szCs w:val="22"/>
                <w:lang w:val="el-GR"/>
              </w:rPr>
              <w:t xml:space="preserve"> εξαιρουμέν</w:t>
            </w:r>
            <w:r w:rsidR="00781831">
              <w:rPr>
                <w:rFonts w:ascii="Arial" w:hAnsi="Arial" w:cs="Arial"/>
                <w:sz w:val="22"/>
                <w:szCs w:val="22"/>
                <w:lang w:val="el-GR"/>
              </w:rPr>
              <w:t>ης</w:t>
            </w:r>
            <w:r w:rsidR="002927D8">
              <w:rPr>
                <w:rFonts w:ascii="Arial" w:hAnsi="Arial" w:cs="Arial"/>
                <w:sz w:val="22"/>
                <w:szCs w:val="22"/>
                <w:lang w:val="el-GR"/>
              </w:rPr>
              <w:t xml:space="preserve"> </w:t>
            </w:r>
            <w:r w:rsidR="00781831">
              <w:rPr>
                <w:rFonts w:ascii="Arial" w:hAnsi="Arial" w:cs="Arial"/>
                <w:sz w:val="22"/>
                <w:szCs w:val="22"/>
                <w:lang w:val="el-GR"/>
              </w:rPr>
              <w:t>της</w:t>
            </w:r>
            <w:r w:rsidR="002927D8">
              <w:rPr>
                <w:rFonts w:ascii="Arial" w:hAnsi="Arial" w:cs="Arial"/>
                <w:sz w:val="22"/>
                <w:szCs w:val="22"/>
                <w:lang w:val="el-GR"/>
              </w:rPr>
              <w:t xml:space="preserve"> ασύρματης επαναφόρτισης ηλεκτρικών οχημάτων, </w:t>
            </w:r>
            <w:r w:rsidR="0047533B" w:rsidRPr="00642EF7">
              <w:rPr>
                <w:rFonts w:ascii="Arial" w:hAnsi="Arial" w:cs="Arial"/>
                <w:sz w:val="22"/>
                <w:szCs w:val="22"/>
                <w:lang w:val="el-GR"/>
              </w:rPr>
              <w:t>είναι η μέθοδος 3 («</w:t>
            </w:r>
            <w:proofErr w:type="spellStart"/>
            <w:r w:rsidR="0047533B" w:rsidRPr="00642EF7">
              <w:rPr>
                <w:rFonts w:ascii="Arial" w:hAnsi="Arial" w:cs="Arial"/>
                <w:sz w:val="22"/>
                <w:szCs w:val="22"/>
                <w:lang w:val="el-GR"/>
              </w:rPr>
              <w:t>Mode</w:t>
            </w:r>
            <w:proofErr w:type="spellEnd"/>
            <w:r w:rsidR="0047533B" w:rsidRPr="00642EF7">
              <w:rPr>
                <w:rFonts w:ascii="Arial" w:hAnsi="Arial" w:cs="Arial"/>
                <w:sz w:val="22"/>
                <w:szCs w:val="22"/>
                <w:lang w:val="el-GR"/>
              </w:rPr>
              <w:t xml:space="preserve"> 3 AC </w:t>
            </w:r>
            <w:proofErr w:type="spellStart"/>
            <w:r w:rsidR="0047533B" w:rsidRPr="00642EF7">
              <w:rPr>
                <w:rFonts w:ascii="Arial" w:hAnsi="Arial" w:cs="Arial"/>
                <w:sz w:val="22"/>
                <w:szCs w:val="22"/>
                <w:lang w:val="el-GR"/>
              </w:rPr>
              <w:t>Charging</w:t>
            </w:r>
            <w:proofErr w:type="spellEnd"/>
            <w:r w:rsidR="0047533B" w:rsidRPr="00642EF7">
              <w:rPr>
                <w:rFonts w:ascii="Arial" w:hAnsi="Arial" w:cs="Arial"/>
                <w:sz w:val="22"/>
                <w:szCs w:val="22"/>
                <w:lang w:val="el-GR"/>
              </w:rPr>
              <w:t>») και η μέθοδος 4 («</w:t>
            </w:r>
            <w:proofErr w:type="spellStart"/>
            <w:r w:rsidR="0047533B" w:rsidRPr="00642EF7">
              <w:rPr>
                <w:rFonts w:ascii="Arial" w:hAnsi="Arial" w:cs="Arial"/>
                <w:sz w:val="22"/>
                <w:szCs w:val="22"/>
                <w:lang w:val="el-GR"/>
              </w:rPr>
              <w:t>Mode</w:t>
            </w:r>
            <w:proofErr w:type="spellEnd"/>
            <w:r w:rsidR="0047533B" w:rsidRPr="00642EF7">
              <w:rPr>
                <w:rFonts w:ascii="Arial" w:hAnsi="Arial" w:cs="Arial"/>
                <w:sz w:val="22"/>
                <w:szCs w:val="22"/>
                <w:lang w:val="el-GR"/>
              </w:rPr>
              <w:t xml:space="preserve"> 4 DC </w:t>
            </w:r>
            <w:proofErr w:type="spellStart"/>
            <w:r w:rsidR="0047533B" w:rsidRPr="00642EF7">
              <w:rPr>
                <w:rFonts w:ascii="Arial" w:hAnsi="Arial" w:cs="Arial"/>
                <w:sz w:val="22"/>
                <w:szCs w:val="22"/>
                <w:lang w:val="el-GR"/>
              </w:rPr>
              <w:t>Charging</w:t>
            </w:r>
            <w:proofErr w:type="spellEnd"/>
            <w:r w:rsidR="0047533B" w:rsidRPr="00642EF7">
              <w:rPr>
                <w:rFonts w:ascii="Arial" w:hAnsi="Arial" w:cs="Arial"/>
                <w:sz w:val="22"/>
                <w:szCs w:val="22"/>
                <w:lang w:val="el-GR"/>
              </w:rPr>
              <w:t xml:space="preserve">»), όπως αυτές καθορίζονται από το πρότυπο EN/IEC 61851-1 «Electric </w:t>
            </w:r>
            <w:proofErr w:type="spellStart"/>
            <w:r w:rsidR="0047533B" w:rsidRPr="00642EF7">
              <w:rPr>
                <w:rFonts w:ascii="Arial" w:hAnsi="Arial" w:cs="Arial"/>
                <w:sz w:val="22"/>
                <w:szCs w:val="22"/>
                <w:lang w:val="el-GR"/>
              </w:rPr>
              <w:t>Vehicle</w:t>
            </w:r>
            <w:proofErr w:type="spellEnd"/>
            <w:r w:rsidR="0047533B" w:rsidRPr="00642EF7">
              <w:rPr>
                <w:rFonts w:ascii="Arial" w:hAnsi="Arial" w:cs="Arial"/>
                <w:sz w:val="22"/>
                <w:szCs w:val="22"/>
                <w:lang w:val="el-GR"/>
              </w:rPr>
              <w:t xml:space="preserve"> </w:t>
            </w:r>
            <w:proofErr w:type="spellStart"/>
            <w:r w:rsidR="0047533B" w:rsidRPr="00642EF7">
              <w:rPr>
                <w:rFonts w:ascii="Arial" w:hAnsi="Arial" w:cs="Arial"/>
                <w:sz w:val="22"/>
                <w:szCs w:val="22"/>
                <w:lang w:val="el-GR"/>
              </w:rPr>
              <w:t>Conductive</w:t>
            </w:r>
            <w:proofErr w:type="spellEnd"/>
            <w:r w:rsidR="0047533B" w:rsidRPr="00642EF7">
              <w:rPr>
                <w:rFonts w:ascii="Arial" w:hAnsi="Arial" w:cs="Arial"/>
                <w:sz w:val="22"/>
                <w:szCs w:val="22"/>
                <w:lang w:val="el-GR"/>
              </w:rPr>
              <w:t xml:space="preserve"> </w:t>
            </w:r>
            <w:proofErr w:type="spellStart"/>
            <w:r w:rsidR="0047533B" w:rsidRPr="00642EF7">
              <w:rPr>
                <w:rFonts w:ascii="Arial" w:hAnsi="Arial" w:cs="Arial"/>
                <w:sz w:val="22"/>
                <w:szCs w:val="22"/>
                <w:lang w:val="el-GR"/>
              </w:rPr>
              <w:t>Charging</w:t>
            </w:r>
            <w:proofErr w:type="spellEnd"/>
            <w:r w:rsidR="0047533B" w:rsidRPr="00642EF7">
              <w:rPr>
                <w:rFonts w:ascii="Arial" w:hAnsi="Arial" w:cs="Arial"/>
                <w:sz w:val="22"/>
                <w:szCs w:val="22"/>
                <w:lang w:val="el-GR"/>
              </w:rPr>
              <w:t xml:space="preserve"> </w:t>
            </w:r>
            <w:proofErr w:type="spellStart"/>
            <w:r w:rsidR="0047533B" w:rsidRPr="00642EF7">
              <w:rPr>
                <w:rFonts w:ascii="Arial" w:hAnsi="Arial" w:cs="Arial"/>
                <w:sz w:val="22"/>
                <w:szCs w:val="22"/>
                <w:lang w:val="el-GR"/>
              </w:rPr>
              <w:t>System</w:t>
            </w:r>
            <w:proofErr w:type="spellEnd"/>
            <w:r w:rsidR="0047533B" w:rsidRPr="00642EF7">
              <w:rPr>
                <w:rFonts w:ascii="Arial" w:hAnsi="Arial" w:cs="Arial"/>
                <w:sz w:val="22"/>
                <w:szCs w:val="22"/>
                <w:lang w:val="el-GR"/>
              </w:rPr>
              <w:t>».</w:t>
            </w:r>
            <w:r w:rsidR="006037BA" w:rsidRPr="00642EF7">
              <w:rPr>
                <w:rFonts w:ascii="Arial" w:hAnsi="Arial" w:cs="Arial"/>
                <w:sz w:val="22"/>
                <w:szCs w:val="22"/>
                <w:lang w:val="el-GR"/>
              </w:rPr>
              <w:t xml:space="preserve"> Νοείται ότι το καλώδιο σύνδεσης του ΣΕ με το ηλεκτρικό όχημα </w:t>
            </w:r>
            <w:r w:rsidR="005B671D">
              <w:rPr>
                <w:rFonts w:ascii="Arial" w:hAnsi="Arial" w:cs="Arial"/>
                <w:sz w:val="22"/>
                <w:szCs w:val="22"/>
                <w:lang w:val="el-GR"/>
              </w:rPr>
              <w:t>για</w:t>
            </w:r>
            <w:r w:rsidR="005B671D" w:rsidRPr="005B671D">
              <w:rPr>
                <w:rFonts w:ascii="Arial" w:hAnsi="Arial" w:cs="Arial"/>
                <w:sz w:val="22"/>
                <w:szCs w:val="22"/>
                <w:lang w:val="el-GR"/>
              </w:rPr>
              <w:t xml:space="preserve"> </w:t>
            </w:r>
            <w:r w:rsidR="005B671D">
              <w:rPr>
                <w:rFonts w:ascii="Arial" w:hAnsi="Arial" w:cs="Arial"/>
                <w:sz w:val="22"/>
                <w:szCs w:val="22"/>
                <w:lang w:val="el-GR"/>
              </w:rPr>
              <w:t xml:space="preserve">τη </w:t>
            </w:r>
            <w:r w:rsidR="005B671D" w:rsidRPr="00642EF7">
              <w:rPr>
                <w:rFonts w:ascii="Arial" w:hAnsi="Arial" w:cs="Arial"/>
                <w:sz w:val="22"/>
                <w:szCs w:val="22"/>
                <w:lang w:val="el-GR"/>
              </w:rPr>
              <w:t>μέθοδο 4 («</w:t>
            </w:r>
            <w:proofErr w:type="spellStart"/>
            <w:r w:rsidR="005B671D" w:rsidRPr="00642EF7">
              <w:rPr>
                <w:rFonts w:ascii="Arial" w:hAnsi="Arial" w:cs="Arial"/>
                <w:sz w:val="22"/>
                <w:szCs w:val="22"/>
                <w:lang w:val="el-GR"/>
              </w:rPr>
              <w:t>Mode</w:t>
            </w:r>
            <w:proofErr w:type="spellEnd"/>
            <w:r w:rsidR="005B671D" w:rsidRPr="00642EF7">
              <w:rPr>
                <w:rFonts w:ascii="Arial" w:hAnsi="Arial" w:cs="Arial"/>
                <w:sz w:val="22"/>
                <w:szCs w:val="22"/>
                <w:lang w:val="el-GR"/>
              </w:rPr>
              <w:t xml:space="preserve"> 4 DC </w:t>
            </w:r>
            <w:proofErr w:type="spellStart"/>
            <w:r w:rsidR="005B671D" w:rsidRPr="00642EF7">
              <w:rPr>
                <w:rFonts w:ascii="Arial" w:hAnsi="Arial" w:cs="Arial"/>
                <w:sz w:val="22"/>
                <w:szCs w:val="22"/>
                <w:lang w:val="el-GR"/>
              </w:rPr>
              <w:t>Charging</w:t>
            </w:r>
            <w:proofErr w:type="spellEnd"/>
            <w:r w:rsidR="005B671D" w:rsidRPr="00642EF7">
              <w:rPr>
                <w:rFonts w:ascii="Arial" w:hAnsi="Arial" w:cs="Arial"/>
                <w:sz w:val="22"/>
                <w:szCs w:val="22"/>
                <w:lang w:val="el-GR"/>
              </w:rPr>
              <w:t>»)</w:t>
            </w:r>
            <w:r w:rsidR="00850372" w:rsidRPr="00850372">
              <w:rPr>
                <w:rFonts w:ascii="Arial" w:hAnsi="Arial" w:cs="Arial"/>
                <w:sz w:val="22"/>
                <w:szCs w:val="22"/>
                <w:lang w:val="el-GR"/>
              </w:rPr>
              <w:t>,</w:t>
            </w:r>
            <w:r w:rsidR="005B671D">
              <w:rPr>
                <w:rFonts w:ascii="Arial" w:hAnsi="Arial" w:cs="Arial"/>
                <w:sz w:val="22"/>
                <w:szCs w:val="22"/>
                <w:lang w:val="el-GR"/>
              </w:rPr>
              <w:t xml:space="preserve"> </w:t>
            </w:r>
            <w:r w:rsidR="006037BA" w:rsidRPr="00642EF7">
              <w:rPr>
                <w:rFonts w:ascii="Arial" w:hAnsi="Arial" w:cs="Arial"/>
                <w:sz w:val="22"/>
                <w:szCs w:val="22"/>
                <w:lang w:val="el-GR"/>
              </w:rPr>
              <w:t>θα αποτελεί μέρος του ΣΕ και θα είναι μόνιμα εγκατεστημένο πάνω σε αυτό.</w:t>
            </w:r>
            <w:r w:rsidR="002927D8" w:rsidRPr="002927D8">
              <w:rPr>
                <w:rFonts w:ascii="Arial" w:hAnsi="Arial" w:cs="Arial"/>
                <w:sz w:val="22"/>
                <w:szCs w:val="22"/>
                <w:lang w:val="el-GR"/>
              </w:rPr>
              <w:t xml:space="preserve"> </w:t>
            </w:r>
          </w:p>
          <w:p w14:paraId="18902144" w14:textId="5B0BFA82" w:rsidR="0047533B" w:rsidRPr="00642EF7" w:rsidRDefault="0047533B" w:rsidP="0047533B">
            <w:pPr>
              <w:spacing w:line="360" w:lineRule="auto"/>
              <w:jc w:val="both"/>
              <w:rPr>
                <w:rFonts w:ascii="Arial" w:hAnsi="Arial" w:cs="Arial"/>
                <w:sz w:val="22"/>
                <w:szCs w:val="22"/>
                <w:lang w:val="el-GR"/>
              </w:rPr>
            </w:pPr>
          </w:p>
          <w:p w14:paraId="527541DA" w14:textId="77777777" w:rsidR="0047533B" w:rsidRDefault="0047533B" w:rsidP="002927D8">
            <w:pPr>
              <w:spacing w:line="360" w:lineRule="auto"/>
              <w:jc w:val="both"/>
              <w:rPr>
                <w:rFonts w:ascii="Arial" w:hAnsi="Arial" w:cs="Arial"/>
                <w:sz w:val="22"/>
                <w:szCs w:val="22"/>
                <w:lang w:val="el-GR"/>
              </w:rPr>
            </w:pPr>
            <w:r w:rsidRPr="00642EF7">
              <w:rPr>
                <w:rFonts w:ascii="Arial" w:hAnsi="Arial" w:cs="Arial"/>
                <w:sz w:val="22"/>
                <w:szCs w:val="22"/>
                <w:lang w:val="el-GR"/>
              </w:rPr>
              <w:t xml:space="preserve">(2) Οι αποδεκτοί ρευματολήπτες ή συνδετήρες των συσκευών επαναφόρτισης </w:t>
            </w:r>
            <w:r w:rsidR="004A0171" w:rsidRPr="00642EF7">
              <w:rPr>
                <w:rFonts w:ascii="Arial" w:hAnsi="Arial" w:cs="Arial"/>
                <w:sz w:val="22"/>
                <w:szCs w:val="22"/>
                <w:lang w:val="el-GR"/>
              </w:rPr>
              <w:t xml:space="preserve">ηλεκτρικών αυτοκινήτων </w:t>
            </w:r>
            <w:r w:rsidRPr="00642EF7">
              <w:rPr>
                <w:rFonts w:ascii="Arial" w:hAnsi="Arial" w:cs="Arial"/>
                <w:sz w:val="22"/>
                <w:szCs w:val="22"/>
                <w:lang w:val="el-GR"/>
              </w:rPr>
              <w:t>καθορίζονται στο Μέρος 1 του Παραρτήματος ΙΙ του Νόμου.</w:t>
            </w:r>
            <w:r w:rsidR="002927D8">
              <w:rPr>
                <w:rFonts w:ascii="Arial" w:hAnsi="Arial" w:cs="Arial"/>
                <w:sz w:val="22"/>
                <w:szCs w:val="22"/>
                <w:lang w:val="el-GR"/>
              </w:rPr>
              <w:t xml:space="preserve">  </w:t>
            </w:r>
          </w:p>
          <w:p w14:paraId="6C58F867" w14:textId="134ED605" w:rsidR="002927D8" w:rsidRPr="00642EF7" w:rsidRDefault="002927D8" w:rsidP="002927D8">
            <w:pPr>
              <w:spacing w:line="360" w:lineRule="auto"/>
              <w:jc w:val="both"/>
              <w:rPr>
                <w:rFonts w:ascii="Arial" w:hAnsi="Arial" w:cs="Arial"/>
                <w:sz w:val="22"/>
                <w:szCs w:val="22"/>
                <w:lang w:val="el-GR"/>
              </w:rPr>
            </w:pPr>
          </w:p>
        </w:tc>
      </w:tr>
      <w:tr w:rsidR="003E2786" w:rsidRPr="00694193" w14:paraId="5539FA33" w14:textId="77777777" w:rsidTr="001A6BC4">
        <w:trPr>
          <w:trHeight w:val="288"/>
        </w:trPr>
        <w:tc>
          <w:tcPr>
            <w:tcW w:w="1898" w:type="dxa"/>
            <w:shd w:val="clear" w:color="auto" w:fill="FFFFFF"/>
          </w:tcPr>
          <w:p w14:paraId="76728A18"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579466B0" w14:textId="5F85AA0A" w:rsidR="00BE3466" w:rsidRPr="00BE3466" w:rsidRDefault="00EF2526" w:rsidP="00BE3466">
            <w:pPr>
              <w:spacing w:line="360" w:lineRule="auto"/>
              <w:ind w:left="404" w:hanging="404"/>
              <w:jc w:val="both"/>
              <w:rPr>
                <w:rFonts w:ascii="Arial" w:hAnsi="Arial" w:cs="Arial"/>
                <w:sz w:val="22"/>
                <w:szCs w:val="22"/>
                <w:lang w:val="el-GR"/>
              </w:rPr>
            </w:pPr>
            <w:r w:rsidRPr="00B75246">
              <w:rPr>
                <w:rFonts w:ascii="Arial" w:hAnsi="Arial" w:cs="Arial"/>
                <w:sz w:val="22"/>
                <w:szCs w:val="22"/>
                <w:lang w:val="el-GR"/>
              </w:rPr>
              <w:t xml:space="preserve">(3) </w:t>
            </w:r>
            <w:r w:rsidR="00BE3466" w:rsidRPr="00B75246">
              <w:rPr>
                <w:rFonts w:ascii="Arial" w:hAnsi="Arial" w:cs="Arial"/>
                <w:sz w:val="22"/>
                <w:szCs w:val="22"/>
                <w:lang w:val="el-GR"/>
              </w:rPr>
              <w:t>(α</w:t>
            </w:r>
            <w:r w:rsidR="00BE3466" w:rsidRPr="00BE3466">
              <w:rPr>
                <w:rFonts w:ascii="Arial" w:hAnsi="Arial" w:cs="Arial"/>
                <w:sz w:val="22"/>
                <w:szCs w:val="22"/>
                <w:lang w:val="el-GR"/>
              </w:rPr>
              <w:t xml:space="preserve">) Κάθε δημοσίως </w:t>
            </w:r>
            <w:proofErr w:type="spellStart"/>
            <w:r w:rsidR="00BE3466" w:rsidRPr="00BE3466">
              <w:rPr>
                <w:rFonts w:ascii="Arial" w:hAnsi="Arial" w:cs="Arial"/>
                <w:sz w:val="22"/>
                <w:szCs w:val="22"/>
                <w:lang w:val="el-GR"/>
              </w:rPr>
              <w:t>προσβάσιμο</w:t>
            </w:r>
            <w:proofErr w:type="spellEnd"/>
            <w:r w:rsidR="00BE3466" w:rsidRPr="00BE3466">
              <w:rPr>
                <w:rFonts w:ascii="Arial" w:hAnsi="Arial" w:cs="Arial"/>
                <w:sz w:val="22"/>
                <w:szCs w:val="22"/>
                <w:lang w:val="el-GR"/>
              </w:rPr>
              <w:t xml:space="preserve"> σημείο επαναφόρτισης διαθέτει κατάλληλη μετρητική διάταξη η οποία μπορεί να καταμετρά τη</w:t>
            </w:r>
            <w:r w:rsidR="00C930B1">
              <w:rPr>
                <w:rFonts w:ascii="Arial" w:hAnsi="Arial" w:cs="Arial"/>
                <w:sz w:val="22"/>
                <w:szCs w:val="22"/>
                <w:lang w:val="el-GR"/>
              </w:rPr>
              <w:t>ν</w:t>
            </w:r>
            <w:r w:rsidR="00F613DC">
              <w:rPr>
                <w:rFonts w:ascii="Arial" w:hAnsi="Arial" w:cs="Arial"/>
                <w:sz w:val="22"/>
                <w:szCs w:val="22"/>
                <w:lang w:val="el-GR"/>
              </w:rPr>
              <w:t xml:space="preserve"> </w:t>
            </w:r>
            <w:r w:rsidR="00BE3466" w:rsidRPr="00BE3466">
              <w:rPr>
                <w:rFonts w:ascii="Arial" w:hAnsi="Arial" w:cs="Arial"/>
                <w:sz w:val="22"/>
                <w:szCs w:val="22"/>
                <w:lang w:val="el-GR"/>
              </w:rPr>
              <w:t xml:space="preserve">κατανάλωση ηλεκτρικής ενέργειας. </w:t>
            </w:r>
          </w:p>
          <w:p w14:paraId="753E78EC" w14:textId="5B12CDF1" w:rsidR="00BE3466" w:rsidRDefault="00BE3466" w:rsidP="00BE3466">
            <w:pPr>
              <w:spacing w:line="360" w:lineRule="auto"/>
              <w:ind w:left="404" w:hanging="404"/>
              <w:jc w:val="both"/>
              <w:rPr>
                <w:rFonts w:ascii="Arial" w:hAnsi="Arial" w:cs="Arial"/>
                <w:sz w:val="22"/>
                <w:szCs w:val="22"/>
                <w:lang w:val="el-GR"/>
              </w:rPr>
            </w:pPr>
            <w:r>
              <w:rPr>
                <w:rFonts w:ascii="Arial" w:hAnsi="Arial" w:cs="Arial"/>
                <w:sz w:val="22"/>
                <w:szCs w:val="22"/>
                <w:lang w:val="el-GR"/>
              </w:rPr>
              <w:t xml:space="preserve">      </w:t>
            </w:r>
            <w:r w:rsidRPr="00BE3466">
              <w:rPr>
                <w:rFonts w:ascii="Arial" w:hAnsi="Arial" w:cs="Arial"/>
                <w:sz w:val="22"/>
                <w:szCs w:val="22"/>
                <w:lang w:val="el-GR"/>
              </w:rPr>
              <w:t>(β) Η μετρητική διάταξη της παραγράφου (α) συμμορφώνεται με το πρότυπο CYS EN 50470-1 και εφαρμόζεται ακρίβεια Κλάσης 2 (</w:t>
            </w:r>
            <w:proofErr w:type="spellStart"/>
            <w:r w:rsidRPr="00BE3466">
              <w:rPr>
                <w:rFonts w:ascii="Arial" w:hAnsi="Arial" w:cs="Arial"/>
                <w:sz w:val="22"/>
                <w:szCs w:val="22"/>
                <w:lang w:val="el-GR"/>
              </w:rPr>
              <w:t>Class</w:t>
            </w:r>
            <w:proofErr w:type="spellEnd"/>
            <w:r w:rsidRPr="00BE3466">
              <w:rPr>
                <w:rFonts w:ascii="Arial" w:hAnsi="Arial" w:cs="Arial"/>
                <w:sz w:val="22"/>
                <w:szCs w:val="22"/>
                <w:lang w:val="el-GR"/>
              </w:rPr>
              <w:t xml:space="preserve"> 2) για ενεργό ισχύ σύμφωνα με το πρότυπο CYS EN 62053-21 (AC) και ακρίβεια Κλάσης 2 (</w:t>
            </w:r>
            <w:proofErr w:type="spellStart"/>
            <w:r w:rsidRPr="00BE3466">
              <w:rPr>
                <w:rFonts w:ascii="Arial" w:hAnsi="Arial" w:cs="Arial"/>
                <w:sz w:val="22"/>
                <w:szCs w:val="22"/>
                <w:lang w:val="el-GR"/>
              </w:rPr>
              <w:t>Class</w:t>
            </w:r>
            <w:proofErr w:type="spellEnd"/>
            <w:r w:rsidRPr="00BE3466">
              <w:rPr>
                <w:rFonts w:ascii="Arial" w:hAnsi="Arial" w:cs="Arial"/>
                <w:sz w:val="22"/>
                <w:szCs w:val="22"/>
                <w:lang w:val="el-GR"/>
              </w:rPr>
              <w:t xml:space="preserve"> 2) για άεργο ισχύ σύμφωνα με το πρότυπο CYS EN 62053-23. </w:t>
            </w:r>
          </w:p>
          <w:p w14:paraId="108AD341" w14:textId="7B736EE3" w:rsidR="00BE3466" w:rsidRPr="00A77A94" w:rsidRDefault="00BE3466" w:rsidP="00BE3466">
            <w:pPr>
              <w:spacing w:line="360" w:lineRule="auto"/>
              <w:ind w:left="404" w:hanging="404"/>
              <w:jc w:val="both"/>
              <w:rPr>
                <w:rFonts w:ascii="Arial" w:hAnsi="Arial" w:cs="Arial"/>
                <w:sz w:val="22"/>
                <w:szCs w:val="22"/>
                <w:lang w:val="el-GR"/>
              </w:rPr>
            </w:pPr>
            <w:r>
              <w:rPr>
                <w:rFonts w:ascii="Arial" w:hAnsi="Arial" w:cs="Arial"/>
                <w:sz w:val="22"/>
                <w:szCs w:val="22"/>
                <w:lang w:val="el-GR"/>
              </w:rPr>
              <w:t xml:space="preserve">       </w:t>
            </w:r>
            <w:r w:rsidRPr="00A77A94">
              <w:rPr>
                <w:rFonts w:ascii="Arial" w:hAnsi="Arial" w:cs="Arial"/>
                <w:sz w:val="22"/>
                <w:szCs w:val="22"/>
                <w:lang w:val="el-GR"/>
              </w:rPr>
              <w:t>Νοείται ότι η ακρίβεια κλάσης</w:t>
            </w:r>
            <w:r>
              <w:rPr>
                <w:rFonts w:ascii="Arial" w:hAnsi="Arial" w:cs="Arial"/>
                <w:sz w:val="22"/>
                <w:szCs w:val="22"/>
                <w:lang w:val="el-GR"/>
              </w:rPr>
              <w:t xml:space="preserve"> </w:t>
            </w:r>
            <w:r w:rsidRPr="00A77A94">
              <w:rPr>
                <w:rFonts w:ascii="Arial" w:hAnsi="Arial" w:cs="Arial"/>
                <w:sz w:val="22"/>
                <w:szCs w:val="22"/>
                <w:lang w:val="el-GR"/>
              </w:rPr>
              <w:t>που εφαρμόζεται κατά</w:t>
            </w:r>
            <w:r>
              <w:rPr>
                <w:rFonts w:ascii="Arial" w:hAnsi="Arial" w:cs="Arial"/>
                <w:sz w:val="22"/>
                <w:szCs w:val="22"/>
                <w:lang w:val="el-GR"/>
              </w:rPr>
              <w:t xml:space="preserve"> </w:t>
            </w:r>
            <w:r w:rsidRPr="00A77A94">
              <w:rPr>
                <w:rFonts w:ascii="Arial" w:hAnsi="Arial" w:cs="Arial"/>
                <w:sz w:val="22"/>
                <w:szCs w:val="22"/>
                <w:lang w:val="el-GR"/>
              </w:rPr>
              <w:t>περίπτωση είναι σύμφωνη με</w:t>
            </w:r>
            <w:r>
              <w:rPr>
                <w:rFonts w:ascii="Arial" w:hAnsi="Arial" w:cs="Arial"/>
                <w:sz w:val="22"/>
                <w:szCs w:val="22"/>
                <w:lang w:val="el-GR"/>
              </w:rPr>
              <w:t xml:space="preserve"> </w:t>
            </w:r>
            <w:r w:rsidRPr="00A77A94">
              <w:rPr>
                <w:rFonts w:ascii="Arial" w:hAnsi="Arial" w:cs="Arial"/>
                <w:sz w:val="22"/>
                <w:szCs w:val="22"/>
                <w:lang w:val="el-GR"/>
              </w:rPr>
              <w:t>τους Κανόνες Μεταφοράς και</w:t>
            </w:r>
            <w:r>
              <w:rPr>
                <w:rFonts w:ascii="Arial" w:hAnsi="Arial" w:cs="Arial"/>
                <w:sz w:val="22"/>
                <w:szCs w:val="22"/>
                <w:lang w:val="el-GR"/>
              </w:rPr>
              <w:t xml:space="preserve"> </w:t>
            </w:r>
            <w:r w:rsidRPr="00A77A94">
              <w:rPr>
                <w:rFonts w:ascii="Arial" w:hAnsi="Arial" w:cs="Arial"/>
                <w:sz w:val="22"/>
                <w:szCs w:val="22"/>
                <w:lang w:val="el-GR"/>
              </w:rPr>
              <w:t>Διανομής.</w:t>
            </w:r>
          </w:p>
          <w:p w14:paraId="0B519E7E" w14:textId="77777777" w:rsidR="0047533B" w:rsidRPr="00642EF7" w:rsidRDefault="0047533B" w:rsidP="00A77A94">
            <w:pPr>
              <w:spacing w:line="360" w:lineRule="auto"/>
              <w:ind w:left="404"/>
              <w:jc w:val="both"/>
              <w:rPr>
                <w:rFonts w:ascii="Arial" w:hAnsi="Arial" w:cs="Arial"/>
                <w:sz w:val="22"/>
                <w:szCs w:val="22"/>
                <w:lang w:val="el-GR"/>
              </w:rPr>
            </w:pPr>
          </w:p>
        </w:tc>
      </w:tr>
      <w:tr w:rsidR="003E2786" w:rsidRPr="00694193" w14:paraId="33F566C8" w14:textId="77777777" w:rsidTr="001A6BC4">
        <w:trPr>
          <w:trHeight w:val="288"/>
        </w:trPr>
        <w:tc>
          <w:tcPr>
            <w:tcW w:w="1898" w:type="dxa"/>
            <w:shd w:val="clear" w:color="auto" w:fill="FFFFFF"/>
          </w:tcPr>
          <w:p w14:paraId="2C4059BC"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3F50BA7C" w14:textId="77777777" w:rsidR="00A77A94" w:rsidRDefault="0047533B" w:rsidP="00ED17A0">
            <w:pPr>
              <w:spacing w:line="360" w:lineRule="auto"/>
              <w:jc w:val="both"/>
              <w:rPr>
                <w:rFonts w:ascii="Arial" w:hAnsi="Arial" w:cs="Arial"/>
                <w:sz w:val="22"/>
                <w:szCs w:val="22"/>
                <w:lang w:val="el-GR"/>
              </w:rPr>
            </w:pPr>
            <w:r w:rsidRPr="00642EF7">
              <w:rPr>
                <w:rFonts w:ascii="Arial" w:hAnsi="Arial" w:cs="Arial"/>
                <w:sz w:val="22"/>
                <w:szCs w:val="22"/>
                <w:lang w:val="el-GR"/>
              </w:rPr>
              <w:t xml:space="preserve">(4)   </w:t>
            </w:r>
            <w:r w:rsidR="0083102E" w:rsidRPr="00642EF7">
              <w:rPr>
                <w:rFonts w:ascii="Arial" w:hAnsi="Arial" w:cs="Arial"/>
                <w:sz w:val="22"/>
                <w:szCs w:val="22"/>
                <w:lang w:val="el-GR"/>
              </w:rPr>
              <w:t>Κ</w:t>
            </w:r>
            <w:r w:rsidR="004A0171" w:rsidRPr="00642EF7">
              <w:rPr>
                <w:rFonts w:ascii="Arial" w:hAnsi="Arial" w:cs="Arial"/>
                <w:sz w:val="22"/>
                <w:szCs w:val="22"/>
                <w:lang w:val="el-GR"/>
              </w:rPr>
              <w:t>άθε</w:t>
            </w:r>
            <w:r w:rsidRPr="00642EF7">
              <w:rPr>
                <w:rFonts w:ascii="Arial" w:hAnsi="Arial" w:cs="Arial"/>
                <w:sz w:val="22"/>
                <w:szCs w:val="22"/>
                <w:lang w:val="el-GR"/>
              </w:rPr>
              <w:t xml:space="preserve"> δημοσίως </w:t>
            </w:r>
            <w:proofErr w:type="spellStart"/>
            <w:r w:rsidRPr="00642EF7">
              <w:rPr>
                <w:rFonts w:ascii="Arial" w:hAnsi="Arial" w:cs="Arial"/>
                <w:sz w:val="22"/>
                <w:szCs w:val="22"/>
                <w:lang w:val="el-GR"/>
              </w:rPr>
              <w:t>προσβάσιμ</w:t>
            </w:r>
            <w:r w:rsidR="004A0171" w:rsidRPr="00642EF7">
              <w:rPr>
                <w:rFonts w:ascii="Arial" w:hAnsi="Arial" w:cs="Arial"/>
                <w:sz w:val="22"/>
                <w:szCs w:val="22"/>
                <w:lang w:val="el-GR"/>
              </w:rPr>
              <w:t>ο</w:t>
            </w:r>
            <w:proofErr w:type="spellEnd"/>
            <w:r w:rsidRPr="00642EF7">
              <w:rPr>
                <w:rFonts w:ascii="Arial" w:hAnsi="Arial" w:cs="Arial"/>
                <w:sz w:val="22"/>
                <w:szCs w:val="22"/>
                <w:lang w:val="el-GR"/>
              </w:rPr>
              <w:t xml:space="preserve"> σημεί</w:t>
            </w:r>
            <w:r w:rsidR="004A0171" w:rsidRPr="00642EF7">
              <w:rPr>
                <w:rFonts w:ascii="Arial" w:hAnsi="Arial" w:cs="Arial"/>
                <w:sz w:val="22"/>
                <w:szCs w:val="22"/>
                <w:lang w:val="el-GR"/>
              </w:rPr>
              <w:t>ο</w:t>
            </w:r>
            <w:r w:rsidR="00ED17A0">
              <w:rPr>
                <w:rFonts w:ascii="Arial" w:hAnsi="Arial" w:cs="Arial"/>
                <w:sz w:val="22"/>
                <w:szCs w:val="22"/>
                <w:lang w:val="el-GR"/>
              </w:rPr>
              <w:t xml:space="preserve"> επαναφόρτισης να έχει τον κατάλληλο εξοπλισμό</w:t>
            </w:r>
            <w:r w:rsidR="00EF2526" w:rsidRPr="00642EF7">
              <w:rPr>
                <w:rFonts w:ascii="Arial" w:hAnsi="Arial" w:cs="Arial"/>
                <w:sz w:val="22"/>
                <w:szCs w:val="22"/>
                <w:lang w:val="el-GR"/>
              </w:rPr>
              <w:t xml:space="preserve"> για ‘επί τούτω’ (ad hoc) χρέωση</w:t>
            </w:r>
            <w:r w:rsidRPr="00642EF7">
              <w:rPr>
                <w:rFonts w:ascii="Arial" w:hAnsi="Arial" w:cs="Arial"/>
                <w:sz w:val="22"/>
                <w:szCs w:val="22"/>
                <w:lang w:val="el-GR"/>
              </w:rPr>
              <w:t xml:space="preserve"> των χρηστών ηλεκτρικών οχημάτων</w:t>
            </w:r>
            <w:r w:rsidR="00A77A94">
              <w:rPr>
                <w:rFonts w:ascii="Arial" w:hAnsi="Arial" w:cs="Arial"/>
                <w:sz w:val="22"/>
                <w:szCs w:val="22"/>
                <w:lang w:val="el-GR"/>
              </w:rPr>
              <w:t>.</w:t>
            </w:r>
          </w:p>
          <w:p w14:paraId="40C463B4" w14:textId="2A729319" w:rsidR="004A6ED2" w:rsidRDefault="00A77A94" w:rsidP="00ED17A0">
            <w:pPr>
              <w:spacing w:line="360" w:lineRule="auto"/>
              <w:jc w:val="both"/>
              <w:rPr>
                <w:rFonts w:ascii="Arial" w:hAnsi="Arial" w:cs="Arial"/>
                <w:sz w:val="22"/>
                <w:szCs w:val="22"/>
                <w:lang w:val="el-GR"/>
              </w:rPr>
            </w:pPr>
            <w:r>
              <w:rPr>
                <w:rFonts w:ascii="Arial" w:hAnsi="Arial" w:cs="Arial"/>
                <w:sz w:val="22"/>
                <w:szCs w:val="22"/>
                <w:lang w:val="el-GR"/>
              </w:rPr>
              <w:t xml:space="preserve">Για το σκοπό αυτό </w:t>
            </w:r>
            <w:r w:rsidR="004A6ED2">
              <w:rPr>
                <w:rFonts w:ascii="Arial" w:hAnsi="Arial" w:cs="Arial"/>
                <w:sz w:val="22"/>
                <w:szCs w:val="22"/>
                <w:lang w:val="el-GR"/>
              </w:rPr>
              <w:t xml:space="preserve">κάθε </w:t>
            </w:r>
            <w:r w:rsidR="004A6ED2" w:rsidRPr="00642EF7">
              <w:rPr>
                <w:rFonts w:ascii="Arial" w:hAnsi="Arial" w:cs="Arial"/>
                <w:sz w:val="22"/>
                <w:szCs w:val="22"/>
                <w:lang w:val="el-GR"/>
              </w:rPr>
              <w:t xml:space="preserve">δημοσίως </w:t>
            </w:r>
            <w:proofErr w:type="spellStart"/>
            <w:r w:rsidR="004A6ED2" w:rsidRPr="00642EF7">
              <w:rPr>
                <w:rFonts w:ascii="Arial" w:hAnsi="Arial" w:cs="Arial"/>
                <w:sz w:val="22"/>
                <w:szCs w:val="22"/>
                <w:lang w:val="el-GR"/>
              </w:rPr>
              <w:t>προσβάσιμο</w:t>
            </w:r>
            <w:proofErr w:type="spellEnd"/>
            <w:r w:rsidR="004A6ED2" w:rsidRPr="00642EF7">
              <w:rPr>
                <w:rFonts w:ascii="Arial" w:hAnsi="Arial" w:cs="Arial"/>
                <w:sz w:val="22"/>
                <w:szCs w:val="22"/>
                <w:lang w:val="el-GR"/>
              </w:rPr>
              <w:t xml:space="preserve"> σημείο</w:t>
            </w:r>
            <w:r w:rsidR="004A6ED2">
              <w:rPr>
                <w:rFonts w:ascii="Arial" w:hAnsi="Arial" w:cs="Arial"/>
                <w:sz w:val="22"/>
                <w:szCs w:val="22"/>
                <w:lang w:val="el-GR"/>
              </w:rPr>
              <w:t xml:space="preserve"> επαναφόρτισης διαθέτει</w:t>
            </w:r>
            <w:r w:rsidR="004A6ED2" w:rsidRPr="004A6ED2">
              <w:rPr>
                <w:rFonts w:ascii="Arial" w:hAnsi="Arial" w:cs="Arial"/>
                <w:sz w:val="22"/>
                <w:szCs w:val="22"/>
                <w:lang w:val="el-GR"/>
              </w:rPr>
              <w:t xml:space="preserve"> τουλάχιστον ένα από τα ακόλουθα τερματικά και συσκευές </w:t>
            </w:r>
            <w:r w:rsidR="004A6ED2">
              <w:rPr>
                <w:rFonts w:ascii="Arial" w:hAnsi="Arial" w:cs="Arial"/>
                <w:sz w:val="22"/>
                <w:szCs w:val="22"/>
                <w:lang w:val="el-GR"/>
              </w:rPr>
              <w:t>:</w:t>
            </w:r>
          </w:p>
          <w:p w14:paraId="2A214BCF" w14:textId="485B9EB7" w:rsidR="004A6ED2" w:rsidRPr="004A6ED2" w:rsidRDefault="004A6ED2" w:rsidP="004A6ED2">
            <w:pPr>
              <w:pStyle w:val="ListParagraph"/>
              <w:numPr>
                <w:ilvl w:val="0"/>
                <w:numId w:val="26"/>
              </w:numPr>
              <w:spacing w:line="360" w:lineRule="auto"/>
              <w:ind w:hanging="316"/>
              <w:jc w:val="both"/>
              <w:rPr>
                <w:rFonts w:ascii="Arial" w:hAnsi="Arial" w:cs="Arial"/>
                <w:sz w:val="22"/>
                <w:szCs w:val="22"/>
                <w:lang w:val="el-GR"/>
              </w:rPr>
            </w:pPr>
            <w:r w:rsidRPr="004A6ED2">
              <w:rPr>
                <w:rFonts w:ascii="Arial" w:hAnsi="Arial" w:cs="Arial"/>
                <w:sz w:val="22"/>
                <w:szCs w:val="22"/>
                <w:lang w:val="el-GR"/>
              </w:rPr>
              <w:t>συσκευές ανάγ</w:t>
            </w:r>
            <w:r w:rsidR="008008BC">
              <w:rPr>
                <w:rFonts w:ascii="Arial" w:hAnsi="Arial" w:cs="Arial"/>
                <w:sz w:val="22"/>
                <w:szCs w:val="22"/>
                <w:lang w:val="el-GR"/>
              </w:rPr>
              <w:t>νωσης καρτών πληρωμής</w:t>
            </w:r>
            <w:r w:rsidRPr="004A6ED2">
              <w:rPr>
                <w:rFonts w:ascii="Arial" w:hAnsi="Arial" w:cs="Arial"/>
                <w:sz w:val="22"/>
                <w:szCs w:val="22"/>
                <w:lang w:val="el-GR"/>
              </w:rPr>
              <w:t>·</w:t>
            </w:r>
          </w:p>
          <w:p w14:paraId="342CC103" w14:textId="4719664F" w:rsidR="0047533B" w:rsidRPr="00642EF7" w:rsidRDefault="004A6ED2" w:rsidP="00EC68A8">
            <w:pPr>
              <w:pStyle w:val="ListParagraph"/>
              <w:numPr>
                <w:ilvl w:val="0"/>
                <w:numId w:val="26"/>
              </w:numPr>
              <w:spacing w:line="360" w:lineRule="auto"/>
              <w:ind w:hanging="316"/>
              <w:jc w:val="both"/>
              <w:rPr>
                <w:rFonts w:ascii="Arial" w:hAnsi="Arial" w:cs="Arial"/>
                <w:sz w:val="22"/>
                <w:szCs w:val="22"/>
                <w:lang w:val="el-GR"/>
              </w:rPr>
            </w:pPr>
            <w:r w:rsidRPr="008008BC">
              <w:rPr>
                <w:rFonts w:ascii="Arial" w:hAnsi="Arial" w:cs="Arial"/>
                <w:sz w:val="22"/>
                <w:szCs w:val="22"/>
                <w:lang w:val="el-GR"/>
              </w:rPr>
              <w:t xml:space="preserve">συσκευές </w:t>
            </w:r>
            <w:r w:rsidR="008008BC" w:rsidRPr="008008BC">
              <w:rPr>
                <w:rFonts w:ascii="Arial" w:hAnsi="Arial" w:cs="Arial"/>
                <w:sz w:val="22"/>
                <w:szCs w:val="22"/>
                <w:lang w:val="el-GR"/>
              </w:rPr>
              <w:t>που διαθέτουν ανέπαφη λειτουργική δυνατότητα η οποία</w:t>
            </w:r>
            <w:r w:rsidRPr="008008BC">
              <w:rPr>
                <w:rFonts w:ascii="Arial" w:hAnsi="Arial" w:cs="Arial"/>
                <w:sz w:val="22"/>
                <w:szCs w:val="22"/>
                <w:lang w:val="el-GR"/>
              </w:rPr>
              <w:t xml:space="preserve"> </w:t>
            </w:r>
            <w:r w:rsidR="008008BC" w:rsidRPr="008008BC">
              <w:rPr>
                <w:rFonts w:ascii="Arial" w:hAnsi="Arial" w:cs="Arial"/>
                <w:sz w:val="22"/>
                <w:szCs w:val="22"/>
                <w:lang w:val="el-GR"/>
              </w:rPr>
              <w:t>είναι τουλάχιστον ικανή</w:t>
            </w:r>
            <w:r w:rsidRPr="008008BC">
              <w:rPr>
                <w:rFonts w:ascii="Arial" w:hAnsi="Arial" w:cs="Arial"/>
                <w:sz w:val="22"/>
                <w:szCs w:val="22"/>
                <w:lang w:val="el-GR"/>
              </w:rPr>
              <w:t xml:space="preserve"> να διαβάζ</w:t>
            </w:r>
            <w:r w:rsidR="008008BC" w:rsidRPr="008008BC">
              <w:rPr>
                <w:rFonts w:ascii="Arial" w:hAnsi="Arial" w:cs="Arial"/>
                <w:sz w:val="22"/>
                <w:szCs w:val="22"/>
                <w:lang w:val="el-GR"/>
              </w:rPr>
              <w:t>ει κάρτες πληρωμών.</w:t>
            </w:r>
          </w:p>
        </w:tc>
      </w:tr>
      <w:tr w:rsidR="003E2786" w:rsidRPr="00694193" w14:paraId="015F14BD" w14:textId="77777777" w:rsidTr="001A6BC4">
        <w:trPr>
          <w:trHeight w:val="288"/>
        </w:trPr>
        <w:tc>
          <w:tcPr>
            <w:tcW w:w="1898" w:type="dxa"/>
            <w:shd w:val="clear" w:color="auto" w:fill="FFFFFF"/>
          </w:tcPr>
          <w:p w14:paraId="6874E690" w14:textId="46B67DA9"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67BE0F55" w14:textId="77777777" w:rsidR="0047533B" w:rsidRPr="00642EF7" w:rsidRDefault="0047533B" w:rsidP="0047533B">
            <w:pPr>
              <w:spacing w:line="360" w:lineRule="auto"/>
              <w:jc w:val="both"/>
              <w:rPr>
                <w:rFonts w:ascii="Arial" w:hAnsi="Arial" w:cs="Arial"/>
                <w:sz w:val="22"/>
                <w:szCs w:val="22"/>
                <w:lang w:val="el-GR"/>
              </w:rPr>
            </w:pPr>
          </w:p>
        </w:tc>
      </w:tr>
      <w:tr w:rsidR="003E2786" w:rsidRPr="00694193" w14:paraId="6F0B6F05" w14:textId="77777777" w:rsidTr="001A6BC4">
        <w:trPr>
          <w:trHeight w:val="288"/>
        </w:trPr>
        <w:tc>
          <w:tcPr>
            <w:tcW w:w="1898" w:type="dxa"/>
            <w:shd w:val="clear" w:color="auto" w:fill="FFFFFF"/>
          </w:tcPr>
          <w:p w14:paraId="37AB3681"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081517F5" w14:textId="525DBBA7" w:rsidR="000F46F3" w:rsidRDefault="0047533B" w:rsidP="007A061F">
            <w:pPr>
              <w:spacing w:line="360" w:lineRule="auto"/>
              <w:jc w:val="both"/>
              <w:rPr>
                <w:rFonts w:ascii="Arial" w:hAnsi="Arial" w:cs="Arial"/>
                <w:sz w:val="22"/>
                <w:szCs w:val="22"/>
                <w:lang w:val="el-GR"/>
              </w:rPr>
            </w:pPr>
            <w:r w:rsidRPr="00642EF7">
              <w:rPr>
                <w:rFonts w:ascii="Arial" w:hAnsi="Arial" w:cs="Arial"/>
                <w:sz w:val="22"/>
                <w:szCs w:val="22"/>
                <w:lang w:val="el-GR"/>
              </w:rPr>
              <w:t xml:space="preserve">(5)   </w:t>
            </w:r>
            <w:r w:rsidR="007A061F" w:rsidRPr="00642EF7">
              <w:rPr>
                <w:rFonts w:ascii="Arial" w:hAnsi="Arial" w:cs="Arial"/>
                <w:sz w:val="22"/>
                <w:szCs w:val="22"/>
                <w:lang w:val="el-GR"/>
              </w:rPr>
              <w:t xml:space="preserve">Οι «Διαχειριστές Σημείου Επαναφόρτισης Ηλεκτρικού Οχήματος (ΔΣΕΗΟ)», διασφαλίζουν τη διαθεσιμότητα των στατικών και δυναμικών δεδομένων για τις υποδομές επαναφόρτισης που διαχειρίζονται οι ίδιοι και </w:t>
            </w:r>
            <w:r w:rsidR="00ED17A0">
              <w:rPr>
                <w:rFonts w:ascii="Arial" w:hAnsi="Arial" w:cs="Arial"/>
                <w:sz w:val="22"/>
                <w:szCs w:val="22"/>
                <w:lang w:val="el-GR"/>
              </w:rPr>
              <w:t>δύναται, εφόσον ζητηθεί, να αποστέλλουν τα στοιχεία αυτά</w:t>
            </w:r>
            <w:r w:rsidR="007A061F" w:rsidRPr="00642EF7">
              <w:rPr>
                <w:rFonts w:ascii="Arial" w:hAnsi="Arial" w:cs="Arial"/>
                <w:sz w:val="22"/>
                <w:szCs w:val="22"/>
                <w:lang w:val="el-GR"/>
              </w:rPr>
              <w:t xml:space="preserve"> </w:t>
            </w:r>
            <w:r w:rsidR="00ED17A0">
              <w:rPr>
                <w:rFonts w:ascii="Arial" w:hAnsi="Arial" w:cs="Arial"/>
                <w:sz w:val="22"/>
                <w:szCs w:val="22"/>
                <w:lang w:val="el-GR"/>
              </w:rPr>
              <w:t>σ</w:t>
            </w:r>
            <w:r w:rsidR="007A061F" w:rsidRPr="00642EF7">
              <w:rPr>
                <w:rFonts w:ascii="Arial" w:hAnsi="Arial" w:cs="Arial"/>
                <w:sz w:val="22"/>
                <w:szCs w:val="22"/>
                <w:lang w:val="el-GR"/>
              </w:rPr>
              <w:t>την αρμόδια</w:t>
            </w:r>
            <w:r w:rsidR="00ED17A0">
              <w:rPr>
                <w:rFonts w:ascii="Arial" w:hAnsi="Arial" w:cs="Arial"/>
                <w:sz w:val="22"/>
                <w:szCs w:val="22"/>
                <w:lang w:val="el-GR"/>
              </w:rPr>
              <w:t xml:space="preserve"> </w:t>
            </w:r>
            <w:r w:rsidR="007A061F" w:rsidRPr="00642EF7">
              <w:rPr>
                <w:rFonts w:ascii="Arial" w:hAnsi="Arial" w:cs="Arial"/>
                <w:sz w:val="22"/>
                <w:szCs w:val="22"/>
                <w:lang w:val="el-GR"/>
              </w:rPr>
              <w:t>αρχή</w:t>
            </w:r>
            <w:r w:rsidR="008C2CF9">
              <w:rPr>
                <w:rFonts w:ascii="Arial" w:hAnsi="Arial" w:cs="Arial"/>
                <w:sz w:val="22"/>
                <w:szCs w:val="22"/>
                <w:lang w:val="el-GR"/>
              </w:rPr>
              <w:t>,</w:t>
            </w:r>
            <w:r w:rsidR="000F46F3">
              <w:rPr>
                <w:rFonts w:ascii="Arial" w:hAnsi="Arial" w:cs="Arial"/>
                <w:sz w:val="22"/>
                <w:szCs w:val="22"/>
                <w:lang w:val="el-GR"/>
              </w:rPr>
              <w:t xml:space="preserve"> σε ηλεκτρονική ή σε </w:t>
            </w:r>
            <w:r w:rsidR="004D5191">
              <w:rPr>
                <w:rFonts w:ascii="Arial" w:hAnsi="Arial" w:cs="Arial"/>
                <w:sz w:val="22"/>
                <w:szCs w:val="22"/>
                <w:lang w:val="el-GR"/>
              </w:rPr>
              <w:t xml:space="preserve">όποια </w:t>
            </w:r>
            <w:r w:rsidR="000F46F3">
              <w:rPr>
                <w:rFonts w:ascii="Arial" w:hAnsi="Arial" w:cs="Arial"/>
                <w:sz w:val="22"/>
                <w:szCs w:val="22"/>
                <w:lang w:val="el-GR"/>
              </w:rPr>
              <w:t>άλλη μορφή</w:t>
            </w:r>
            <w:r w:rsidR="004D5191">
              <w:rPr>
                <w:rFonts w:ascii="Arial" w:hAnsi="Arial" w:cs="Arial"/>
                <w:sz w:val="22"/>
                <w:szCs w:val="22"/>
                <w:lang w:val="el-GR"/>
              </w:rPr>
              <w:t xml:space="preserve"> ζητηθεί</w:t>
            </w:r>
            <w:r w:rsidR="000F46F3">
              <w:rPr>
                <w:rFonts w:ascii="Arial" w:hAnsi="Arial" w:cs="Arial"/>
                <w:sz w:val="22"/>
                <w:szCs w:val="22"/>
                <w:lang w:val="el-GR"/>
              </w:rPr>
              <w:t>,</w:t>
            </w:r>
            <w:r w:rsidR="007A061F" w:rsidRPr="00642EF7">
              <w:rPr>
                <w:rFonts w:ascii="Arial" w:hAnsi="Arial" w:cs="Arial"/>
                <w:sz w:val="22"/>
                <w:szCs w:val="22"/>
                <w:lang w:val="el-GR"/>
              </w:rPr>
              <w:t xml:space="preserve"> χωρίς κόστος. </w:t>
            </w:r>
          </w:p>
          <w:p w14:paraId="680596E0" w14:textId="2BDF3D86" w:rsidR="0083102E" w:rsidRPr="00642EF7" w:rsidRDefault="000F46F3" w:rsidP="007A061F">
            <w:pPr>
              <w:spacing w:line="360" w:lineRule="auto"/>
              <w:jc w:val="both"/>
              <w:rPr>
                <w:rFonts w:ascii="Arial" w:hAnsi="Arial" w:cs="Arial"/>
                <w:sz w:val="22"/>
                <w:szCs w:val="22"/>
                <w:lang w:val="el-GR"/>
              </w:rPr>
            </w:pPr>
            <w:r>
              <w:rPr>
                <w:rFonts w:ascii="Arial" w:hAnsi="Arial" w:cs="Arial"/>
                <w:sz w:val="22"/>
                <w:szCs w:val="22"/>
                <w:lang w:val="el-GR"/>
              </w:rPr>
              <w:t>Νοείται</w:t>
            </w:r>
            <w:r w:rsidR="0040245C">
              <w:rPr>
                <w:rFonts w:ascii="Arial" w:hAnsi="Arial" w:cs="Arial"/>
                <w:sz w:val="22"/>
                <w:szCs w:val="22"/>
                <w:lang w:val="el-GR"/>
              </w:rPr>
              <w:t xml:space="preserve"> </w:t>
            </w:r>
            <w:r>
              <w:rPr>
                <w:rFonts w:ascii="Arial" w:hAnsi="Arial" w:cs="Arial"/>
                <w:sz w:val="22"/>
                <w:szCs w:val="22"/>
                <w:lang w:val="el-GR"/>
              </w:rPr>
              <w:t>ότι διασφαλίζουν τη διαθεσιμότητα</w:t>
            </w:r>
            <w:r w:rsidR="0040245C" w:rsidRPr="0040245C">
              <w:rPr>
                <w:lang w:val="el-GR"/>
              </w:rPr>
              <w:t xml:space="preserve"> </w:t>
            </w:r>
            <w:r w:rsidR="0040245C" w:rsidRPr="0040245C">
              <w:rPr>
                <w:rFonts w:ascii="Arial" w:hAnsi="Arial" w:cs="Arial"/>
                <w:sz w:val="22"/>
                <w:szCs w:val="22"/>
                <w:lang w:val="el-GR"/>
              </w:rPr>
              <w:t>κάθε άλλη</w:t>
            </w:r>
            <w:r>
              <w:rPr>
                <w:rFonts w:ascii="Arial" w:hAnsi="Arial" w:cs="Arial"/>
                <w:sz w:val="22"/>
                <w:szCs w:val="22"/>
                <w:lang w:val="el-GR"/>
              </w:rPr>
              <w:t>ς</w:t>
            </w:r>
            <w:r w:rsidR="0040245C" w:rsidRPr="0040245C">
              <w:rPr>
                <w:rFonts w:ascii="Arial" w:hAnsi="Arial" w:cs="Arial"/>
                <w:sz w:val="22"/>
                <w:szCs w:val="22"/>
                <w:lang w:val="el-GR"/>
              </w:rPr>
              <w:t xml:space="preserve"> πληροφορία</w:t>
            </w:r>
            <w:r>
              <w:rPr>
                <w:rFonts w:ascii="Arial" w:hAnsi="Arial" w:cs="Arial"/>
                <w:sz w:val="22"/>
                <w:szCs w:val="22"/>
                <w:lang w:val="el-GR"/>
              </w:rPr>
              <w:t>ς</w:t>
            </w:r>
            <w:r w:rsidR="0040245C" w:rsidRPr="0040245C">
              <w:rPr>
                <w:rFonts w:ascii="Arial" w:hAnsi="Arial" w:cs="Arial"/>
                <w:sz w:val="22"/>
                <w:szCs w:val="22"/>
                <w:lang w:val="el-GR"/>
              </w:rPr>
              <w:t xml:space="preserve"> δυνατόν να καθορίζεται από τις αρμόδιες αρχές του Κράτους ως απαιτούμενη για τη συμμόρφωση της Κυπριακής Δημοκρατίας με το Ευρωπαϊκό Κεκτημένο. </w:t>
            </w:r>
            <w:r w:rsidR="0040245C">
              <w:rPr>
                <w:rFonts w:ascii="Arial" w:hAnsi="Arial" w:cs="Arial"/>
                <w:sz w:val="22"/>
                <w:szCs w:val="22"/>
                <w:lang w:val="el-GR"/>
              </w:rPr>
              <w:t xml:space="preserve"> </w:t>
            </w:r>
          </w:p>
          <w:p w14:paraId="3D2B65F2" w14:textId="77777777" w:rsidR="000F46F3" w:rsidRDefault="000F46F3" w:rsidP="007A061F">
            <w:pPr>
              <w:spacing w:line="360" w:lineRule="auto"/>
              <w:jc w:val="both"/>
              <w:rPr>
                <w:rFonts w:ascii="Arial" w:hAnsi="Arial" w:cs="Arial"/>
                <w:sz w:val="22"/>
                <w:szCs w:val="22"/>
                <w:lang w:val="el-GR"/>
              </w:rPr>
            </w:pPr>
          </w:p>
          <w:p w14:paraId="389ABAD9" w14:textId="58343C04" w:rsidR="00DA3100" w:rsidRPr="00642EF7" w:rsidRDefault="000F46F3" w:rsidP="007A061F">
            <w:pPr>
              <w:spacing w:line="360" w:lineRule="auto"/>
              <w:jc w:val="both"/>
              <w:rPr>
                <w:rFonts w:ascii="Arial" w:hAnsi="Arial" w:cs="Arial"/>
                <w:sz w:val="22"/>
                <w:szCs w:val="22"/>
                <w:lang w:val="el-GR"/>
              </w:rPr>
            </w:pPr>
            <w:r>
              <w:rPr>
                <w:rFonts w:ascii="Arial" w:hAnsi="Arial" w:cs="Arial"/>
                <w:sz w:val="22"/>
                <w:szCs w:val="22"/>
                <w:lang w:val="el-GR"/>
              </w:rPr>
              <w:t xml:space="preserve">Νοείται </w:t>
            </w:r>
            <w:r w:rsidR="00781831">
              <w:rPr>
                <w:rFonts w:ascii="Arial" w:hAnsi="Arial" w:cs="Arial"/>
                <w:sz w:val="22"/>
                <w:szCs w:val="22"/>
                <w:lang w:val="el-GR"/>
              </w:rPr>
              <w:t xml:space="preserve">επίσης </w:t>
            </w:r>
            <w:r>
              <w:rPr>
                <w:rFonts w:ascii="Arial" w:hAnsi="Arial" w:cs="Arial"/>
                <w:sz w:val="22"/>
                <w:szCs w:val="22"/>
                <w:lang w:val="el-GR"/>
              </w:rPr>
              <w:t>ότι θα π</w:t>
            </w:r>
            <w:r w:rsidR="00DA3100" w:rsidRPr="00642EF7">
              <w:rPr>
                <w:rFonts w:ascii="Arial" w:hAnsi="Arial" w:cs="Arial"/>
                <w:sz w:val="22"/>
                <w:szCs w:val="22"/>
                <w:lang w:val="el-GR"/>
              </w:rPr>
              <w:t>αρέχονται τα ακόλουθα είδη συγκεντρωτικών ή/και δεδομένων σε πραγματικό χρόνο:</w:t>
            </w:r>
          </w:p>
          <w:p w14:paraId="3B58C8DE" w14:textId="0881F6C9" w:rsidR="0047533B" w:rsidRPr="00642EF7" w:rsidRDefault="00F95C14" w:rsidP="0047533B">
            <w:pPr>
              <w:spacing w:line="360" w:lineRule="auto"/>
              <w:jc w:val="both"/>
              <w:rPr>
                <w:rFonts w:ascii="Arial" w:hAnsi="Arial" w:cs="Arial"/>
                <w:sz w:val="22"/>
                <w:szCs w:val="22"/>
                <w:lang w:val="el-GR"/>
              </w:rPr>
            </w:pPr>
            <w:r w:rsidRPr="00642EF7">
              <w:rPr>
                <w:rFonts w:ascii="Arial" w:hAnsi="Arial" w:cs="Arial"/>
                <w:sz w:val="22"/>
                <w:szCs w:val="22"/>
                <w:lang w:val="el-GR"/>
              </w:rPr>
              <w:t xml:space="preserve">(α) </w:t>
            </w:r>
            <w:r w:rsidR="0047533B" w:rsidRPr="00642EF7">
              <w:rPr>
                <w:rFonts w:ascii="Arial" w:hAnsi="Arial" w:cs="Arial"/>
                <w:sz w:val="22"/>
                <w:szCs w:val="22"/>
                <w:lang w:val="el-GR"/>
              </w:rPr>
              <w:t xml:space="preserve">η κατανάλωση ενέργειας από τα σημεία επαναφόρτισης, </w:t>
            </w:r>
          </w:p>
          <w:p w14:paraId="581EC0F1" w14:textId="77777777" w:rsidR="0047533B" w:rsidRPr="00642EF7" w:rsidRDefault="0047533B" w:rsidP="0047533B">
            <w:pPr>
              <w:spacing w:line="360" w:lineRule="auto"/>
              <w:jc w:val="both"/>
              <w:rPr>
                <w:rFonts w:ascii="Arial" w:hAnsi="Arial" w:cs="Arial"/>
                <w:sz w:val="22"/>
                <w:szCs w:val="22"/>
                <w:lang w:val="el-GR"/>
              </w:rPr>
            </w:pPr>
            <w:r w:rsidRPr="00642EF7">
              <w:rPr>
                <w:rFonts w:ascii="Arial" w:hAnsi="Arial" w:cs="Arial"/>
                <w:sz w:val="22"/>
                <w:szCs w:val="22"/>
                <w:lang w:val="el-GR"/>
              </w:rPr>
              <w:t xml:space="preserve">(β) το μείγμα ενέργειας που χρησιμοποιείται για την επαναφόρτιση των ηλεκτρικών οχημάτων, </w:t>
            </w:r>
          </w:p>
          <w:p w14:paraId="2EDCC4A7" w14:textId="76A70888" w:rsidR="0047533B" w:rsidRPr="00642EF7" w:rsidRDefault="00F95C14" w:rsidP="0047533B">
            <w:pPr>
              <w:spacing w:line="360" w:lineRule="auto"/>
              <w:jc w:val="both"/>
              <w:rPr>
                <w:rFonts w:ascii="Arial" w:hAnsi="Arial" w:cs="Arial"/>
                <w:sz w:val="22"/>
                <w:szCs w:val="22"/>
                <w:lang w:val="el-GR"/>
              </w:rPr>
            </w:pPr>
            <w:r w:rsidRPr="00642EF7">
              <w:rPr>
                <w:rFonts w:ascii="Arial" w:hAnsi="Arial" w:cs="Arial"/>
                <w:sz w:val="22"/>
                <w:szCs w:val="22"/>
                <w:lang w:val="el-GR"/>
              </w:rPr>
              <w:t xml:space="preserve">(γ) </w:t>
            </w:r>
            <w:r w:rsidR="0047533B" w:rsidRPr="00642EF7">
              <w:rPr>
                <w:rFonts w:ascii="Arial" w:hAnsi="Arial" w:cs="Arial"/>
                <w:sz w:val="22"/>
                <w:szCs w:val="22"/>
                <w:lang w:val="el-GR"/>
              </w:rPr>
              <w:t>η διαθεσιμότητα τ</w:t>
            </w:r>
            <w:r w:rsidR="001978AE" w:rsidRPr="00642EF7">
              <w:rPr>
                <w:rFonts w:ascii="Arial" w:hAnsi="Arial" w:cs="Arial"/>
                <w:sz w:val="22"/>
                <w:szCs w:val="22"/>
                <w:lang w:val="el-GR"/>
              </w:rPr>
              <w:t xml:space="preserve">ου κάθε </w:t>
            </w:r>
            <w:r w:rsidR="00782DF8" w:rsidRPr="00642EF7">
              <w:rPr>
                <w:rFonts w:ascii="Arial" w:hAnsi="Arial" w:cs="Arial"/>
                <w:sz w:val="22"/>
                <w:szCs w:val="22"/>
                <w:lang w:val="el-GR"/>
              </w:rPr>
              <w:t>ΣΕ,</w:t>
            </w:r>
            <w:r w:rsidR="0047533B" w:rsidRPr="00642EF7">
              <w:rPr>
                <w:rFonts w:ascii="Arial" w:hAnsi="Arial" w:cs="Arial"/>
                <w:sz w:val="22"/>
                <w:szCs w:val="22"/>
                <w:lang w:val="el-GR"/>
              </w:rPr>
              <w:t xml:space="preserve"> </w:t>
            </w:r>
            <w:r w:rsidR="006037BA" w:rsidRPr="00642EF7">
              <w:rPr>
                <w:rFonts w:ascii="Arial" w:hAnsi="Arial" w:cs="Arial"/>
                <w:sz w:val="22"/>
                <w:szCs w:val="22"/>
                <w:lang w:val="el-GR"/>
              </w:rPr>
              <w:t>(κατειλημμένο/ελεύθερο)</w:t>
            </w:r>
          </w:p>
          <w:p w14:paraId="25C70F88" w14:textId="61F9D6AA" w:rsidR="006037BA" w:rsidRPr="00642EF7" w:rsidRDefault="0047533B" w:rsidP="0047533B">
            <w:pPr>
              <w:spacing w:line="360" w:lineRule="auto"/>
              <w:jc w:val="both"/>
              <w:rPr>
                <w:rFonts w:ascii="Arial" w:hAnsi="Arial" w:cs="Arial"/>
                <w:sz w:val="22"/>
                <w:szCs w:val="22"/>
                <w:lang w:val="el-GR"/>
              </w:rPr>
            </w:pPr>
            <w:r w:rsidRPr="00642EF7">
              <w:rPr>
                <w:rFonts w:ascii="Arial" w:hAnsi="Arial" w:cs="Arial"/>
                <w:sz w:val="22"/>
                <w:szCs w:val="22"/>
                <w:lang w:val="el-GR"/>
              </w:rPr>
              <w:t>(</w:t>
            </w:r>
            <w:r w:rsidR="00ED17A0">
              <w:rPr>
                <w:rFonts w:ascii="Arial" w:hAnsi="Arial" w:cs="Arial"/>
                <w:sz w:val="22"/>
                <w:szCs w:val="22"/>
                <w:lang w:val="el-GR"/>
              </w:rPr>
              <w:t>δ</w:t>
            </w:r>
            <w:r w:rsidRPr="00642EF7">
              <w:rPr>
                <w:rFonts w:ascii="Arial" w:hAnsi="Arial" w:cs="Arial"/>
                <w:sz w:val="22"/>
                <w:szCs w:val="22"/>
                <w:lang w:val="el-GR"/>
              </w:rPr>
              <w:t xml:space="preserve">) πληροφορίες χρέωσης, </w:t>
            </w:r>
          </w:p>
          <w:p w14:paraId="44042BA7" w14:textId="088C5410" w:rsidR="0047533B" w:rsidRPr="00642EF7" w:rsidRDefault="006037BA" w:rsidP="000F46F3">
            <w:pPr>
              <w:spacing w:line="360" w:lineRule="auto"/>
              <w:jc w:val="both"/>
              <w:rPr>
                <w:rFonts w:ascii="Arial" w:hAnsi="Arial" w:cs="Arial"/>
                <w:sz w:val="22"/>
                <w:szCs w:val="22"/>
                <w:lang w:val="el-GR"/>
              </w:rPr>
            </w:pPr>
            <w:r w:rsidRPr="00642EF7">
              <w:rPr>
                <w:rFonts w:ascii="Arial" w:hAnsi="Arial" w:cs="Arial"/>
                <w:sz w:val="22"/>
                <w:szCs w:val="22"/>
                <w:lang w:val="el-GR"/>
              </w:rPr>
              <w:t>(</w:t>
            </w:r>
            <w:r w:rsidR="00ED17A0">
              <w:rPr>
                <w:rFonts w:ascii="Arial" w:hAnsi="Arial" w:cs="Arial"/>
                <w:sz w:val="22"/>
                <w:szCs w:val="22"/>
                <w:lang w:val="el-GR"/>
              </w:rPr>
              <w:t>ε</w:t>
            </w:r>
            <w:r w:rsidRPr="00642EF7">
              <w:rPr>
                <w:rFonts w:ascii="Arial" w:hAnsi="Arial" w:cs="Arial"/>
                <w:sz w:val="22"/>
                <w:szCs w:val="22"/>
                <w:lang w:val="el-GR"/>
              </w:rPr>
              <w:t xml:space="preserve">) </w:t>
            </w:r>
            <w:r w:rsidRPr="00642EF7">
              <w:rPr>
                <w:rFonts w:ascii="Arial" w:hAnsi="Arial" w:cs="Arial"/>
                <w:sz w:val="22"/>
                <w:szCs w:val="22"/>
              </w:rPr>
              <w:t>ad</w:t>
            </w:r>
            <w:r w:rsidRPr="00642EF7">
              <w:rPr>
                <w:rFonts w:ascii="Arial" w:hAnsi="Arial" w:cs="Arial"/>
                <w:sz w:val="22"/>
                <w:szCs w:val="22"/>
                <w:lang w:val="el-GR"/>
              </w:rPr>
              <w:t xml:space="preserve"> </w:t>
            </w:r>
            <w:r w:rsidRPr="00642EF7">
              <w:rPr>
                <w:rFonts w:ascii="Arial" w:hAnsi="Arial" w:cs="Arial"/>
                <w:sz w:val="22"/>
                <w:szCs w:val="22"/>
              </w:rPr>
              <w:t>hoc</w:t>
            </w:r>
            <w:r w:rsidR="000F46F3">
              <w:rPr>
                <w:rFonts w:ascii="Arial" w:hAnsi="Arial" w:cs="Arial"/>
                <w:sz w:val="22"/>
                <w:szCs w:val="22"/>
                <w:lang w:val="el-GR"/>
              </w:rPr>
              <w:t xml:space="preserve"> τιμή.</w:t>
            </w:r>
          </w:p>
        </w:tc>
      </w:tr>
      <w:tr w:rsidR="003E2786" w:rsidRPr="00694193" w14:paraId="579B1C45" w14:textId="77777777" w:rsidTr="001A6BC4">
        <w:trPr>
          <w:trHeight w:val="288"/>
        </w:trPr>
        <w:tc>
          <w:tcPr>
            <w:tcW w:w="1898" w:type="dxa"/>
            <w:shd w:val="clear" w:color="auto" w:fill="FFFFFF"/>
          </w:tcPr>
          <w:p w14:paraId="24AF0C5A"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6A79A425" w14:textId="77777777" w:rsidR="0047533B" w:rsidRPr="00642EF7" w:rsidRDefault="0047533B" w:rsidP="0047533B">
            <w:pPr>
              <w:spacing w:line="360" w:lineRule="auto"/>
              <w:jc w:val="both"/>
              <w:rPr>
                <w:rFonts w:ascii="Arial" w:hAnsi="Arial" w:cs="Arial"/>
                <w:sz w:val="22"/>
                <w:szCs w:val="22"/>
                <w:lang w:val="el-GR"/>
              </w:rPr>
            </w:pPr>
          </w:p>
        </w:tc>
      </w:tr>
      <w:tr w:rsidR="003E2786" w:rsidRPr="00694193" w14:paraId="5C364A3B" w14:textId="77777777" w:rsidTr="001A6BC4">
        <w:trPr>
          <w:trHeight w:val="288"/>
        </w:trPr>
        <w:tc>
          <w:tcPr>
            <w:tcW w:w="1898" w:type="dxa"/>
            <w:shd w:val="clear" w:color="auto" w:fill="FFFFFF"/>
          </w:tcPr>
          <w:p w14:paraId="7498746E"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17B79959" w14:textId="697A24C9" w:rsidR="0047533B" w:rsidRPr="00642EF7" w:rsidRDefault="0047533B" w:rsidP="0047533B">
            <w:pPr>
              <w:spacing w:line="360" w:lineRule="auto"/>
              <w:jc w:val="both"/>
              <w:rPr>
                <w:rFonts w:ascii="Arial" w:hAnsi="Arial" w:cs="Arial"/>
                <w:sz w:val="22"/>
                <w:szCs w:val="22"/>
                <w:lang w:val="el-GR"/>
              </w:rPr>
            </w:pPr>
            <w:r w:rsidRPr="00642EF7">
              <w:rPr>
                <w:rFonts w:ascii="Arial" w:hAnsi="Arial" w:cs="Arial"/>
                <w:sz w:val="22"/>
                <w:szCs w:val="22"/>
                <w:lang w:val="el-GR"/>
              </w:rPr>
              <w:t>(</w:t>
            </w:r>
            <w:r w:rsidR="00FE6668" w:rsidRPr="00642EF7">
              <w:rPr>
                <w:rFonts w:ascii="Arial" w:hAnsi="Arial" w:cs="Arial"/>
                <w:sz w:val="22"/>
                <w:szCs w:val="22"/>
                <w:lang w:val="el-GR"/>
              </w:rPr>
              <w:t>6</w:t>
            </w:r>
            <w:r w:rsidRPr="00642EF7">
              <w:rPr>
                <w:rFonts w:ascii="Arial" w:hAnsi="Arial" w:cs="Arial"/>
                <w:sz w:val="22"/>
                <w:szCs w:val="22"/>
                <w:lang w:val="el-GR"/>
              </w:rPr>
              <w:t>)   Για σκοπούς ενημέρωσης των χρηστών</w:t>
            </w:r>
            <w:r w:rsidR="00517B8E" w:rsidRPr="00642EF7">
              <w:rPr>
                <w:rFonts w:ascii="Arial" w:hAnsi="Arial" w:cs="Arial"/>
                <w:sz w:val="22"/>
                <w:szCs w:val="22"/>
                <w:lang w:val="el-GR"/>
              </w:rPr>
              <w:t xml:space="preserve">, </w:t>
            </w:r>
            <w:r w:rsidR="00B3726D" w:rsidRPr="00642EF7">
              <w:rPr>
                <w:rFonts w:ascii="Arial" w:hAnsi="Arial" w:cs="Arial"/>
                <w:sz w:val="22"/>
                <w:szCs w:val="22"/>
                <w:lang w:val="el-GR"/>
              </w:rPr>
              <w:t>για κάθε</w:t>
            </w:r>
            <w:r w:rsidR="00517B8E" w:rsidRPr="00642EF7">
              <w:rPr>
                <w:rFonts w:ascii="Arial" w:hAnsi="Arial" w:cs="Arial"/>
                <w:sz w:val="22"/>
                <w:szCs w:val="22"/>
                <w:lang w:val="el-GR"/>
              </w:rPr>
              <w:t xml:space="preserve"> δημοσίως </w:t>
            </w:r>
            <w:proofErr w:type="spellStart"/>
            <w:r w:rsidR="00517B8E" w:rsidRPr="00642EF7">
              <w:rPr>
                <w:rFonts w:ascii="Arial" w:hAnsi="Arial" w:cs="Arial"/>
                <w:sz w:val="22"/>
                <w:szCs w:val="22"/>
                <w:lang w:val="el-GR"/>
              </w:rPr>
              <w:t>προσβάσιμο</w:t>
            </w:r>
            <w:proofErr w:type="spellEnd"/>
            <w:r w:rsidR="00517B8E" w:rsidRPr="00642EF7">
              <w:rPr>
                <w:rFonts w:ascii="Arial" w:hAnsi="Arial" w:cs="Arial"/>
                <w:sz w:val="22"/>
                <w:szCs w:val="22"/>
                <w:lang w:val="el-GR"/>
              </w:rPr>
              <w:t xml:space="preserve"> σημείο επαναφόρτισης</w:t>
            </w:r>
            <w:r w:rsidRPr="00642EF7">
              <w:rPr>
                <w:rFonts w:ascii="Arial" w:hAnsi="Arial" w:cs="Arial"/>
                <w:sz w:val="22"/>
                <w:szCs w:val="22"/>
                <w:lang w:val="el-GR"/>
              </w:rPr>
              <w:t xml:space="preserve"> </w:t>
            </w:r>
            <w:r w:rsidR="00B3726D" w:rsidRPr="00642EF7">
              <w:rPr>
                <w:rFonts w:ascii="Arial" w:hAnsi="Arial" w:cs="Arial"/>
                <w:sz w:val="22"/>
                <w:szCs w:val="22"/>
                <w:lang w:val="el-GR"/>
              </w:rPr>
              <w:t xml:space="preserve">ο ΔΣΕΗΟ </w:t>
            </w:r>
            <w:r w:rsidR="00517B8E" w:rsidRPr="00642EF7">
              <w:rPr>
                <w:rFonts w:ascii="Arial" w:hAnsi="Arial" w:cs="Arial"/>
                <w:sz w:val="22"/>
                <w:szCs w:val="22"/>
                <w:lang w:val="el-GR"/>
              </w:rPr>
              <w:t xml:space="preserve">να δύναται να αποστείλει, όταν και εφόσον ζητηθεί από την αρμόδια αρχή, </w:t>
            </w:r>
            <w:r w:rsidRPr="00642EF7">
              <w:rPr>
                <w:rFonts w:ascii="Arial" w:hAnsi="Arial" w:cs="Arial"/>
                <w:sz w:val="22"/>
                <w:szCs w:val="22"/>
                <w:lang w:val="el-GR"/>
              </w:rPr>
              <w:t>σε πραγματικό χρόνο, τουλάχιστον τα πιο κάτω δεδομένα:</w:t>
            </w:r>
          </w:p>
          <w:p w14:paraId="7982A8B2" w14:textId="62B2D041" w:rsidR="0047533B" w:rsidRPr="00642EF7" w:rsidRDefault="0047533B" w:rsidP="008C2CF9">
            <w:pPr>
              <w:spacing w:line="360" w:lineRule="auto"/>
              <w:jc w:val="both"/>
              <w:rPr>
                <w:rFonts w:ascii="Arial" w:hAnsi="Arial" w:cs="Arial"/>
                <w:sz w:val="22"/>
                <w:szCs w:val="22"/>
                <w:lang w:val="el-GR"/>
              </w:rPr>
            </w:pPr>
            <w:r w:rsidRPr="00642EF7">
              <w:rPr>
                <w:rFonts w:ascii="Arial" w:hAnsi="Arial" w:cs="Arial"/>
                <w:sz w:val="22"/>
                <w:szCs w:val="22"/>
                <w:lang w:val="el-GR"/>
              </w:rPr>
              <w:t>α) τη γεωγραφική θέση,</w:t>
            </w:r>
          </w:p>
          <w:p w14:paraId="248EABCD" w14:textId="4148F201" w:rsidR="0047533B" w:rsidRPr="00642EF7" w:rsidRDefault="0047533B" w:rsidP="008C2CF9">
            <w:pPr>
              <w:spacing w:line="360" w:lineRule="auto"/>
              <w:jc w:val="both"/>
              <w:rPr>
                <w:rFonts w:ascii="Arial" w:hAnsi="Arial" w:cs="Arial"/>
                <w:sz w:val="22"/>
                <w:szCs w:val="22"/>
                <w:lang w:val="el-GR"/>
              </w:rPr>
            </w:pPr>
            <w:r w:rsidRPr="00642EF7">
              <w:rPr>
                <w:rFonts w:ascii="Arial" w:hAnsi="Arial" w:cs="Arial"/>
                <w:sz w:val="22"/>
                <w:szCs w:val="22"/>
                <w:lang w:val="el-GR"/>
              </w:rPr>
              <w:t>β) τη διαθεσιμότητα,</w:t>
            </w:r>
          </w:p>
          <w:p w14:paraId="1061AA1F" w14:textId="29217B15" w:rsidR="0047533B" w:rsidRPr="00642EF7" w:rsidRDefault="0047533B" w:rsidP="008C2CF9">
            <w:pPr>
              <w:spacing w:line="360" w:lineRule="auto"/>
              <w:jc w:val="both"/>
              <w:rPr>
                <w:rFonts w:ascii="Arial" w:hAnsi="Arial" w:cs="Arial"/>
                <w:sz w:val="22"/>
                <w:szCs w:val="22"/>
                <w:lang w:val="el-GR"/>
              </w:rPr>
            </w:pPr>
            <w:r w:rsidRPr="00642EF7">
              <w:rPr>
                <w:rFonts w:ascii="Arial" w:hAnsi="Arial" w:cs="Arial"/>
                <w:sz w:val="22"/>
                <w:szCs w:val="22"/>
                <w:lang w:val="el-GR"/>
              </w:rPr>
              <w:t>γ) τον τύπο και αριθμό ρευματοληπτών και συνδετήρων,</w:t>
            </w:r>
          </w:p>
          <w:p w14:paraId="0DC82827" w14:textId="047B8A6F" w:rsidR="0047533B" w:rsidRPr="00642EF7" w:rsidRDefault="0047533B" w:rsidP="008C2CF9">
            <w:pPr>
              <w:spacing w:line="360" w:lineRule="auto"/>
              <w:jc w:val="both"/>
              <w:rPr>
                <w:rFonts w:ascii="Arial" w:hAnsi="Arial" w:cs="Arial"/>
                <w:sz w:val="22"/>
                <w:szCs w:val="22"/>
                <w:lang w:val="el-GR"/>
              </w:rPr>
            </w:pPr>
            <w:r w:rsidRPr="00642EF7">
              <w:rPr>
                <w:rFonts w:ascii="Arial" w:hAnsi="Arial" w:cs="Arial"/>
                <w:sz w:val="22"/>
                <w:szCs w:val="22"/>
                <w:lang w:val="el-GR"/>
              </w:rPr>
              <w:t xml:space="preserve">δ) τη μέθοδο επαναφόρτισης </w:t>
            </w:r>
          </w:p>
          <w:p w14:paraId="52B91F2F" w14:textId="4B6CC7AD" w:rsidR="0047533B" w:rsidRPr="00642EF7" w:rsidRDefault="0047533B" w:rsidP="008C2CF9">
            <w:pPr>
              <w:spacing w:line="360" w:lineRule="auto"/>
              <w:jc w:val="both"/>
              <w:rPr>
                <w:rFonts w:ascii="Arial" w:hAnsi="Arial" w:cs="Arial"/>
                <w:sz w:val="22"/>
                <w:szCs w:val="22"/>
                <w:lang w:val="el-GR"/>
              </w:rPr>
            </w:pPr>
            <w:r w:rsidRPr="00642EF7">
              <w:rPr>
                <w:rFonts w:ascii="Arial" w:hAnsi="Arial" w:cs="Arial"/>
                <w:sz w:val="22"/>
                <w:szCs w:val="22"/>
                <w:lang w:val="el-GR"/>
              </w:rPr>
              <w:t>ε) την εγκατεστημένη ισχύ</w:t>
            </w:r>
            <w:r w:rsidR="00517B8E" w:rsidRPr="00642EF7">
              <w:rPr>
                <w:rFonts w:ascii="Arial" w:hAnsi="Arial" w:cs="Arial"/>
                <w:sz w:val="22"/>
                <w:szCs w:val="22"/>
                <w:lang w:val="el-GR"/>
              </w:rPr>
              <w:t xml:space="preserve"> τ</w:t>
            </w:r>
            <w:r w:rsidR="00B3726D" w:rsidRPr="00642EF7">
              <w:rPr>
                <w:rFonts w:ascii="Arial" w:hAnsi="Arial" w:cs="Arial"/>
                <w:sz w:val="22"/>
                <w:szCs w:val="22"/>
                <w:lang w:val="el-GR"/>
              </w:rPr>
              <w:t>ου</w:t>
            </w:r>
            <w:r w:rsidR="00517B8E" w:rsidRPr="00642EF7">
              <w:rPr>
                <w:rFonts w:ascii="Arial" w:hAnsi="Arial" w:cs="Arial"/>
                <w:sz w:val="22"/>
                <w:szCs w:val="22"/>
                <w:lang w:val="el-GR"/>
              </w:rPr>
              <w:t xml:space="preserve"> </w:t>
            </w:r>
            <w:r w:rsidR="00B3726D" w:rsidRPr="00642EF7">
              <w:rPr>
                <w:rFonts w:ascii="Arial" w:hAnsi="Arial" w:cs="Arial"/>
                <w:sz w:val="22"/>
                <w:szCs w:val="22"/>
                <w:lang w:val="el-GR"/>
              </w:rPr>
              <w:t>ΣΕ</w:t>
            </w:r>
            <w:r w:rsidRPr="00642EF7">
              <w:rPr>
                <w:rFonts w:ascii="Arial" w:hAnsi="Arial" w:cs="Arial"/>
                <w:sz w:val="22"/>
                <w:szCs w:val="22"/>
                <w:lang w:val="el-GR"/>
              </w:rPr>
              <w:t>,</w:t>
            </w:r>
          </w:p>
          <w:p w14:paraId="22EE1EB3" w14:textId="77777777" w:rsidR="0047533B" w:rsidRPr="00642EF7" w:rsidRDefault="0047533B" w:rsidP="008C2CF9">
            <w:pPr>
              <w:spacing w:line="360" w:lineRule="auto"/>
              <w:jc w:val="both"/>
              <w:rPr>
                <w:rFonts w:ascii="Arial" w:hAnsi="Arial" w:cs="Arial"/>
                <w:sz w:val="22"/>
                <w:szCs w:val="22"/>
                <w:lang w:val="el-GR"/>
              </w:rPr>
            </w:pPr>
            <w:r w:rsidRPr="00642EF7">
              <w:rPr>
                <w:rFonts w:ascii="Arial" w:hAnsi="Arial" w:cs="Arial"/>
                <w:sz w:val="22"/>
                <w:szCs w:val="22"/>
                <w:lang w:val="el-GR"/>
              </w:rPr>
              <w:t>ε) το ωράριο λειτουργίας,</w:t>
            </w:r>
          </w:p>
          <w:p w14:paraId="241C7D97" w14:textId="2F3B7432" w:rsidR="0047533B" w:rsidRPr="00642EF7" w:rsidRDefault="0047533B" w:rsidP="008C2CF9">
            <w:pPr>
              <w:spacing w:line="360" w:lineRule="auto"/>
              <w:jc w:val="both"/>
              <w:rPr>
                <w:rFonts w:ascii="Arial" w:hAnsi="Arial" w:cs="Arial"/>
                <w:sz w:val="22"/>
                <w:szCs w:val="22"/>
                <w:lang w:val="el-GR"/>
              </w:rPr>
            </w:pPr>
            <w:proofErr w:type="spellStart"/>
            <w:r w:rsidRPr="00642EF7">
              <w:rPr>
                <w:rFonts w:ascii="Arial" w:hAnsi="Arial" w:cs="Arial"/>
                <w:sz w:val="22"/>
                <w:szCs w:val="22"/>
                <w:lang w:val="el-GR"/>
              </w:rPr>
              <w:t>στ</w:t>
            </w:r>
            <w:proofErr w:type="spellEnd"/>
            <w:r w:rsidRPr="00642EF7">
              <w:rPr>
                <w:rFonts w:ascii="Arial" w:hAnsi="Arial" w:cs="Arial"/>
                <w:sz w:val="22"/>
                <w:szCs w:val="22"/>
                <w:lang w:val="el-GR"/>
              </w:rPr>
              <w:t xml:space="preserve">) τον τρόπο πληρωμής και </w:t>
            </w:r>
            <w:r w:rsidR="0040245C">
              <w:rPr>
                <w:rFonts w:ascii="Arial" w:hAnsi="Arial" w:cs="Arial"/>
                <w:sz w:val="22"/>
                <w:szCs w:val="22"/>
                <w:lang w:val="el-GR"/>
              </w:rPr>
              <w:t xml:space="preserve">τη χρέωση </w:t>
            </w:r>
            <w:r w:rsidR="0040245C" w:rsidRPr="0040245C">
              <w:rPr>
                <w:rFonts w:ascii="Arial" w:hAnsi="Arial" w:cs="Arial"/>
                <w:sz w:val="22"/>
                <w:szCs w:val="22"/>
                <w:lang w:val="el-GR"/>
              </w:rPr>
              <w:t xml:space="preserve"> (ευρώ/</w:t>
            </w:r>
            <w:proofErr w:type="spellStart"/>
            <w:r w:rsidR="0040245C" w:rsidRPr="0040245C">
              <w:rPr>
                <w:rFonts w:ascii="Arial" w:hAnsi="Arial" w:cs="Arial"/>
                <w:sz w:val="22"/>
                <w:szCs w:val="22"/>
                <w:lang w:val="el-GR"/>
              </w:rPr>
              <w:t>kW</w:t>
            </w:r>
            <w:proofErr w:type="spellEnd"/>
            <w:r w:rsidR="0040245C" w:rsidRPr="0040245C">
              <w:rPr>
                <w:rFonts w:ascii="Arial" w:hAnsi="Arial" w:cs="Arial"/>
                <w:sz w:val="22"/>
                <w:szCs w:val="22"/>
                <w:lang w:val="el-GR"/>
              </w:rPr>
              <w:t>, ευρώ/λεπτό χρήσης</w:t>
            </w:r>
            <w:r w:rsidR="008C2CF9">
              <w:rPr>
                <w:rFonts w:ascii="Arial" w:hAnsi="Arial" w:cs="Arial"/>
                <w:sz w:val="22"/>
                <w:szCs w:val="22"/>
                <w:lang w:val="el-GR"/>
              </w:rPr>
              <w:t xml:space="preserve"> κτλ.</w:t>
            </w:r>
            <w:r w:rsidR="0040245C" w:rsidRPr="0040245C">
              <w:rPr>
                <w:rFonts w:ascii="Arial" w:hAnsi="Arial" w:cs="Arial"/>
                <w:sz w:val="22"/>
                <w:szCs w:val="22"/>
                <w:lang w:val="el-GR"/>
              </w:rPr>
              <w:t>)</w:t>
            </w:r>
            <w:r w:rsidRPr="00642EF7">
              <w:rPr>
                <w:rFonts w:ascii="Arial" w:hAnsi="Arial" w:cs="Arial"/>
                <w:sz w:val="22"/>
                <w:szCs w:val="22"/>
                <w:lang w:val="el-GR"/>
              </w:rPr>
              <w:t>,</w:t>
            </w:r>
          </w:p>
          <w:p w14:paraId="740AC50C" w14:textId="71DDB322" w:rsidR="0047533B" w:rsidRPr="00642EF7" w:rsidRDefault="0047533B" w:rsidP="002D760C">
            <w:pPr>
              <w:spacing w:line="360" w:lineRule="auto"/>
              <w:jc w:val="both"/>
              <w:rPr>
                <w:rFonts w:ascii="Arial" w:hAnsi="Arial" w:cs="Arial"/>
                <w:sz w:val="22"/>
                <w:szCs w:val="22"/>
                <w:lang w:val="el-GR"/>
              </w:rPr>
            </w:pPr>
            <w:r w:rsidRPr="00642EF7">
              <w:rPr>
                <w:rFonts w:ascii="Arial" w:hAnsi="Arial" w:cs="Arial"/>
                <w:sz w:val="22"/>
                <w:szCs w:val="22"/>
                <w:lang w:val="el-GR"/>
              </w:rPr>
              <w:t xml:space="preserve">ζ) τα στοιχεία επικοινωνίας του ΔΣΕΗΟ.   </w:t>
            </w:r>
          </w:p>
        </w:tc>
      </w:tr>
      <w:tr w:rsidR="003E2786" w:rsidRPr="00694193" w14:paraId="178EE444" w14:textId="77777777" w:rsidTr="001A6BC4">
        <w:trPr>
          <w:trHeight w:val="288"/>
        </w:trPr>
        <w:tc>
          <w:tcPr>
            <w:tcW w:w="1898" w:type="dxa"/>
            <w:shd w:val="clear" w:color="auto" w:fill="FFFFFF"/>
          </w:tcPr>
          <w:p w14:paraId="29CA906D"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5B137B04" w14:textId="77777777" w:rsidR="0047533B" w:rsidRPr="00642EF7" w:rsidRDefault="0047533B" w:rsidP="0047533B">
            <w:pPr>
              <w:spacing w:line="360" w:lineRule="auto"/>
              <w:jc w:val="both"/>
              <w:rPr>
                <w:rFonts w:ascii="Arial" w:hAnsi="Arial" w:cs="Arial"/>
                <w:sz w:val="22"/>
                <w:szCs w:val="22"/>
                <w:lang w:val="el-GR"/>
              </w:rPr>
            </w:pPr>
          </w:p>
          <w:p w14:paraId="156324FE" w14:textId="7D5D4282" w:rsidR="0047533B" w:rsidRPr="00642EF7" w:rsidRDefault="0047533B" w:rsidP="00C11569">
            <w:pPr>
              <w:spacing w:line="360" w:lineRule="auto"/>
              <w:jc w:val="both"/>
              <w:rPr>
                <w:rFonts w:ascii="Arial" w:hAnsi="Arial" w:cs="Arial"/>
                <w:sz w:val="22"/>
                <w:szCs w:val="22"/>
                <w:lang w:val="el-GR"/>
              </w:rPr>
            </w:pPr>
            <w:r w:rsidRPr="00642EF7">
              <w:rPr>
                <w:rFonts w:ascii="Arial" w:hAnsi="Arial" w:cs="Arial"/>
                <w:sz w:val="22"/>
                <w:szCs w:val="22"/>
                <w:lang w:val="el-GR"/>
              </w:rPr>
              <w:t>(</w:t>
            </w:r>
            <w:r w:rsidR="00FE6668" w:rsidRPr="00642EF7">
              <w:rPr>
                <w:rFonts w:ascii="Arial" w:hAnsi="Arial" w:cs="Arial"/>
                <w:sz w:val="22"/>
                <w:szCs w:val="22"/>
                <w:lang w:val="el-GR"/>
              </w:rPr>
              <w:t>7</w:t>
            </w:r>
            <w:r w:rsidRPr="00642EF7">
              <w:rPr>
                <w:rFonts w:ascii="Arial" w:hAnsi="Arial" w:cs="Arial"/>
                <w:sz w:val="22"/>
                <w:szCs w:val="22"/>
                <w:lang w:val="el-GR"/>
              </w:rPr>
              <w:t>) Για σκο</w:t>
            </w:r>
            <w:r w:rsidR="00FE6668" w:rsidRPr="00642EF7">
              <w:rPr>
                <w:rFonts w:ascii="Arial" w:hAnsi="Arial" w:cs="Arial"/>
                <w:sz w:val="22"/>
                <w:szCs w:val="22"/>
                <w:lang w:val="el-GR"/>
              </w:rPr>
              <w:t xml:space="preserve">πούς εφαρμογής των εδαφίων (5) </w:t>
            </w:r>
            <w:r w:rsidRPr="00642EF7">
              <w:rPr>
                <w:rFonts w:ascii="Arial" w:hAnsi="Arial" w:cs="Arial"/>
                <w:sz w:val="22"/>
                <w:szCs w:val="22"/>
                <w:lang w:val="el-GR"/>
              </w:rPr>
              <w:t>και (</w:t>
            </w:r>
            <w:r w:rsidR="00FE6668" w:rsidRPr="00642EF7">
              <w:rPr>
                <w:rFonts w:ascii="Arial" w:hAnsi="Arial" w:cs="Arial"/>
                <w:sz w:val="22"/>
                <w:szCs w:val="22"/>
                <w:lang w:val="el-GR"/>
              </w:rPr>
              <w:t>6</w:t>
            </w:r>
            <w:r w:rsidRPr="00642EF7">
              <w:rPr>
                <w:rFonts w:ascii="Arial" w:hAnsi="Arial" w:cs="Arial"/>
                <w:sz w:val="22"/>
                <w:szCs w:val="22"/>
                <w:lang w:val="el-GR"/>
              </w:rPr>
              <w:t xml:space="preserve">), </w:t>
            </w:r>
            <w:r w:rsidR="00FE6668" w:rsidRPr="00642EF7">
              <w:rPr>
                <w:rFonts w:ascii="Arial" w:hAnsi="Arial" w:cs="Arial"/>
                <w:sz w:val="22"/>
                <w:szCs w:val="22"/>
                <w:lang w:val="el-GR"/>
              </w:rPr>
              <w:t xml:space="preserve">η διαθεσιμότητα και η </w:t>
            </w:r>
            <w:r w:rsidR="00ED17A0">
              <w:rPr>
                <w:rFonts w:ascii="Arial" w:hAnsi="Arial" w:cs="Arial"/>
                <w:sz w:val="22"/>
                <w:szCs w:val="22"/>
                <w:lang w:val="el-GR"/>
              </w:rPr>
              <w:t>πρόσβαση/αποστολή αυτών των δεδομένων</w:t>
            </w:r>
            <w:r w:rsidR="00B75246">
              <w:rPr>
                <w:rFonts w:ascii="Arial" w:hAnsi="Arial" w:cs="Arial"/>
                <w:sz w:val="22"/>
                <w:szCs w:val="22"/>
                <w:lang w:val="el-GR"/>
              </w:rPr>
              <w:t xml:space="preserve"> </w:t>
            </w:r>
            <w:r w:rsidRPr="00642EF7">
              <w:rPr>
                <w:rFonts w:ascii="Arial" w:hAnsi="Arial" w:cs="Arial"/>
                <w:sz w:val="22"/>
                <w:szCs w:val="22"/>
                <w:lang w:val="el-GR"/>
              </w:rPr>
              <w:t xml:space="preserve">θα πρέπει να γίνεται στη βάση </w:t>
            </w:r>
            <w:r w:rsidR="0040245C">
              <w:rPr>
                <w:rFonts w:ascii="Arial" w:hAnsi="Arial" w:cs="Arial"/>
                <w:sz w:val="22"/>
                <w:szCs w:val="22"/>
                <w:lang w:val="el-GR"/>
              </w:rPr>
              <w:t xml:space="preserve">διεθνών/ευρωπαϊκών </w:t>
            </w:r>
            <w:r w:rsidRPr="00642EF7">
              <w:rPr>
                <w:rFonts w:ascii="Arial" w:hAnsi="Arial" w:cs="Arial"/>
                <w:sz w:val="22"/>
                <w:szCs w:val="22"/>
                <w:lang w:val="el-GR"/>
              </w:rPr>
              <w:t xml:space="preserve">πρωτοκόλλων τα οποία διασφαλίζουν τη </w:t>
            </w:r>
            <w:proofErr w:type="spellStart"/>
            <w:r w:rsidRPr="00642EF7">
              <w:rPr>
                <w:rFonts w:ascii="Arial" w:hAnsi="Arial" w:cs="Arial"/>
                <w:sz w:val="22"/>
                <w:szCs w:val="22"/>
                <w:lang w:val="el-GR"/>
              </w:rPr>
              <w:t>διεπικοινωνία</w:t>
            </w:r>
            <w:proofErr w:type="spellEnd"/>
            <w:r w:rsidRPr="00642EF7">
              <w:rPr>
                <w:rFonts w:ascii="Arial" w:hAnsi="Arial" w:cs="Arial"/>
                <w:sz w:val="22"/>
                <w:szCs w:val="22"/>
                <w:lang w:val="el-GR"/>
              </w:rPr>
              <w:t xml:space="preserve"> και </w:t>
            </w:r>
            <w:proofErr w:type="spellStart"/>
            <w:r w:rsidRPr="00642EF7">
              <w:rPr>
                <w:rFonts w:ascii="Arial" w:hAnsi="Arial" w:cs="Arial"/>
                <w:sz w:val="22"/>
                <w:szCs w:val="22"/>
                <w:lang w:val="el-GR"/>
              </w:rPr>
              <w:t>διαλειτουργικότητα</w:t>
            </w:r>
            <w:proofErr w:type="spellEnd"/>
            <w:r w:rsidRPr="00642EF7">
              <w:rPr>
                <w:rFonts w:ascii="Arial" w:hAnsi="Arial" w:cs="Arial"/>
                <w:sz w:val="22"/>
                <w:szCs w:val="22"/>
                <w:lang w:val="el-GR"/>
              </w:rPr>
              <w:t>.</w:t>
            </w:r>
          </w:p>
        </w:tc>
      </w:tr>
      <w:tr w:rsidR="003E2786" w:rsidRPr="00694193" w14:paraId="7FAD3124" w14:textId="77777777" w:rsidTr="001A6BC4">
        <w:trPr>
          <w:trHeight w:val="288"/>
        </w:trPr>
        <w:tc>
          <w:tcPr>
            <w:tcW w:w="1898" w:type="dxa"/>
            <w:shd w:val="clear" w:color="auto" w:fill="FFFFFF"/>
          </w:tcPr>
          <w:p w14:paraId="5FD7BCD3"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3BC78501" w14:textId="77777777" w:rsidR="00FE6668" w:rsidRPr="00642EF7" w:rsidRDefault="00FE6668" w:rsidP="00FE6668">
            <w:pPr>
              <w:spacing w:line="360" w:lineRule="auto"/>
              <w:jc w:val="both"/>
              <w:rPr>
                <w:rFonts w:ascii="Arial" w:hAnsi="Arial" w:cs="Arial"/>
                <w:sz w:val="22"/>
                <w:szCs w:val="22"/>
                <w:lang w:val="el-GR"/>
              </w:rPr>
            </w:pPr>
          </w:p>
          <w:p w14:paraId="5E8DC436" w14:textId="337E7E3C" w:rsidR="0047533B" w:rsidRPr="00642EF7" w:rsidRDefault="00FE6668" w:rsidP="00FE6668">
            <w:pPr>
              <w:spacing w:line="360" w:lineRule="auto"/>
              <w:jc w:val="both"/>
              <w:rPr>
                <w:rFonts w:ascii="Arial" w:hAnsi="Arial" w:cs="Arial"/>
                <w:sz w:val="22"/>
                <w:szCs w:val="22"/>
                <w:lang w:val="el-GR"/>
              </w:rPr>
            </w:pPr>
            <w:r w:rsidRPr="00642EF7">
              <w:rPr>
                <w:rFonts w:ascii="Arial" w:hAnsi="Arial" w:cs="Arial"/>
                <w:sz w:val="22"/>
                <w:szCs w:val="22"/>
                <w:lang w:val="el-GR"/>
              </w:rPr>
              <w:t xml:space="preserve">(8) </w:t>
            </w:r>
            <w:r w:rsidR="00F95C14" w:rsidRPr="00642EF7">
              <w:rPr>
                <w:rFonts w:ascii="Arial" w:hAnsi="Arial" w:cs="Arial"/>
                <w:sz w:val="22"/>
                <w:szCs w:val="22"/>
                <w:lang w:val="el-GR"/>
              </w:rPr>
              <w:t>Η συλλογή και διαθεσιμότητα</w:t>
            </w:r>
            <w:r w:rsidR="00ED17A0">
              <w:rPr>
                <w:rFonts w:ascii="Arial" w:hAnsi="Arial" w:cs="Arial"/>
                <w:sz w:val="22"/>
                <w:szCs w:val="22"/>
                <w:lang w:val="el-GR"/>
              </w:rPr>
              <w:t>/αποστολή</w:t>
            </w:r>
            <w:r w:rsidR="00F95C14" w:rsidRPr="00642EF7">
              <w:rPr>
                <w:rFonts w:ascii="Arial" w:hAnsi="Arial" w:cs="Arial"/>
                <w:sz w:val="22"/>
                <w:szCs w:val="22"/>
                <w:lang w:val="el-GR"/>
              </w:rPr>
              <w:t xml:space="preserve"> των στατικών και δυναμικών δεδομένων συμμορφώνεται πλήρως με τις σχετικές διατάξεις του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Νόμου, όπως αυτός εκάστοτε τροποποιείται ή αντικαθίσταται. </w:t>
            </w:r>
          </w:p>
        </w:tc>
      </w:tr>
      <w:tr w:rsidR="003E2786" w:rsidRPr="00694193" w14:paraId="77C7FE41" w14:textId="77777777" w:rsidTr="001A6BC4">
        <w:trPr>
          <w:trHeight w:val="288"/>
        </w:trPr>
        <w:tc>
          <w:tcPr>
            <w:tcW w:w="1898" w:type="dxa"/>
            <w:shd w:val="clear" w:color="auto" w:fill="FFFFFF"/>
          </w:tcPr>
          <w:p w14:paraId="32433701"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704642F7" w14:textId="77777777" w:rsidR="00FE6668" w:rsidRPr="00642EF7" w:rsidRDefault="00FE6668" w:rsidP="0047533B">
            <w:pPr>
              <w:spacing w:line="360" w:lineRule="auto"/>
              <w:jc w:val="both"/>
              <w:rPr>
                <w:rFonts w:ascii="Arial" w:hAnsi="Arial" w:cs="Arial"/>
                <w:sz w:val="22"/>
                <w:szCs w:val="22"/>
                <w:lang w:val="el-GR"/>
              </w:rPr>
            </w:pPr>
          </w:p>
          <w:p w14:paraId="57A1DDD4" w14:textId="290CA1E3" w:rsidR="0047533B" w:rsidRPr="00642EF7" w:rsidRDefault="00FE6668" w:rsidP="0047533B">
            <w:pPr>
              <w:spacing w:line="360" w:lineRule="auto"/>
              <w:jc w:val="both"/>
              <w:rPr>
                <w:rFonts w:ascii="Arial" w:hAnsi="Arial" w:cs="Arial"/>
                <w:sz w:val="22"/>
                <w:szCs w:val="22"/>
                <w:lang w:val="el-GR"/>
              </w:rPr>
            </w:pPr>
            <w:r w:rsidRPr="00642EF7">
              <w:rPr>
                <w:rFonts w:ascii="Arial" w:hAnsi="Arial" w:cs="Arial"/>
                <w:sz w:val="22"/>
                <w:szCs w:val="22"/>
                <w:lang w:val="el-GR"/>
              </w:rPr>
              <w:t>(9) Σε όλα τα δημοσίως προσβάσιμα σημεία επαναφόρτισης τοποθετείται κατάλληλη σήμανση σύμφωνα με τον περί Μηχανοκινήτων Οχημάτων και Τροχαίας Κίνησης Νόμου και Κανονισμών όπως αυτοί εκάστοτε τροποποιούνται ή αντικαθίσταται.</w:t>
            </w:r>
          </w:p>
        </w:tc>
      </w:tr>
      <w:tr w:rsidR="00FE6668" w:rsidRPr="00694193" w14:paraId="2D5E3781" w14:textId="77777777" w:rsidTr="001A6BC4">
        <w:trPr>
          <w:trHeight w:val="288"/>
        </w:trPr>
        <w:tc>
          <w:tcPr>
            <w:tcW w:w="1898" w:type="dxa"/>
            <w:shd w:val="clear" w:color="auto" w:fill="FFFFFF"/>
          </w:tcPr>
          <w:p w14:paraId="49F1494B" w14:textId="77777777" w:rsidR="00FE6668" w:rsidRPr="00642EF7" w:rsidRDefault="00FE6668" w:rsidP="0047533B">
            <w:pPr>
              <w:spacing w:line="360" w:lineRule="auto"/>
              <w:rPr>
                <w:rFonts w:ascii="Arial" w:hAnsi="Arial" w:cs="Arial"/>
                <w:sz w:val="22"/>
                <w:szCs w:val="22"/>
                <w:lang w:val="el-GR"/>
              </w:rPr>
            </w:pPr>
          </w:p>
        </w:tc>
        <w:tc>
          <w:tcPr>
            <w:tcW w:w="8002" w:type="dxa"/>
            <w:shd w:val="clear" w:color="auto" w:fill="FFFFFF"/>
          </w:tcPr>
          <w:p w14:paraId="48959411" w14:textId="77777777" w:rsidR="00FE6668" w:rsidRPr="00642EF7" w:rsidRDefault="00FE6668" w:rsidP="0047533B">
            <w:pPr>
              <w:spacing w:line="360" w:lineRule="auto"/>
              <w:jc w:val="both"/>
              <w:rPr>
                <w:rFonts w:ascii="Arial" w:hAnsi="Arial" w:cs="Arial"/>
                <w:sz w:val="22"/>
                <w:szCs w:val="22"/>
                <w:lang w:val="el-GR"/>
              </w:rPr>
            </w:pPr>
          </w:p>
        </w:tc>
      </w:tr>
      <w:tr w:rsidR="003E2786" w:rsidRPr="00694193" w14:paraId="2D6DB216" w14:textId="77777777" w:rsidTr="001A6BC4">
        <w:trPr>
          <w:trHeight w:val="288"/>
        </w:trPr>
        <w:tc>
          <w:tcPr>
            <w:tcW w:w="1898" w:type="dxa"/>
            <w:shd w:val="clear" w:color="auto" w:fill="FFFFFF"/>
          </w:tcPr>
          <w:p w14:paraId="521DC207" w14:textId="77777777" w:rsidR="0047533B" w:rsidRPr="00642EF7" w:rsidRDefault="0047533B" w:rsidP="0047533B">
            <w:pPr>
              <w:spacing w:line="360" w:lineRule="auto"/>
              <w:rPr>
                <w:rFonts w:ascii="Arial" w:hAnsi="Arial" w:cs="Arial"/>
                <w:sz w:val="22"/>
                <w:szCs w:val="22"/>
                <w:lang w:val="el-GR"/>
              </w:rPr>
            </w:pPr>
            <w:r w:rsidRPr="00642EF7">
              <w:rPr>
                <w:rFonts w:ascii="Arial" w:hAnsi="Arial" w:cs="Arial"/>
                <w:sz w:val="22"/>
                <w:szCs w:val="22"/>
                <w:lang w:val="el-GR"/>
              </w:rPr>
              <w:t>Σύνδεση με το δίκτυο διανομής ηλεκτρικής ενέργειας</w:t>
            </w:r>
          </w:p>
        </w:tc>
        <w:tc>
          <w:tcPr>
            <w:tcW w:w="8002" w:type="dxa"/>
            <w:shd w:val="clear" w:color="auto" w:fill="FFFFFF"/>
          </w:tcPr>
          <w:p w14:paraId="5AA956A4" w14:textId="5D528179" w:rsidR="0047533B" w:rsidRPr="00642EF7" w:rsidRDefault="0047533B" w:rsidP="004A6ED2">
            <w:pPr>
              <w:spacing w:line="360" w:lineRule="auto"/>
              <w:jc w:val="both"/>
              <w:rPr>
                <w:rFonts w:ascii="Arial" w:hAnsi="Arial" w:cs="Arial"/>
                <w:sz w:val="22"/>
                <w:szCs w:val="22"/>
                <w:lang w:val="el-GR"/>
              </w:rPr>
            </w:pPr>
            <w:r w:rsidRPr="00642EF7">
              <w:rPr>
                <w:rFonts w:ascii="Arial" w:hAnsi="Arial" w:cs="Arial"/>
                <w:sz w:val="22"/>
                <w:szCs w:val="22"/>
                <w:lang w:val="el-GR"/>
              </w:rPr>
              <w:t>7</w:t>
            </w:r>
            <w:r w:rsidR="004A6ED2" w:rsidRPr="004A6ED2">
              <w:rPr>
                <w:lang w:val="el-GR"/>
              </w:rPr>
              <w:t xml:space="preserve"> </w:t>
            </w:r>
            <w:r w:rsidR="004A6ED2" w:rsidRPr="004A6ED2">
              <w:rPr>
                <w:rFonts w:ascii="Arial" w:hAnsi="Arial" w:cs="Arial"/>
                <w:sz w:val="22"/>
                <w:szCs w:val="22"/>
                <w:lang w:val="el-GR"/>
              </w:rPr>
              <w:t>Οι απαιτήσεις σύνδεσης του κάθε ΣΕ με το δίκτυο διανομής ηλεκτρικής ενέργειας καθορίζονται σύμφωνα με τις πρόνοιες του περί Ρύθμισης της Αγοράς Ηλεκτρισμού Νόμου, καθώς και του περί Ηλεκτρισμού Νόμου, όπως αυτοί εκάστοτε τροποποιούνται ή αντικαθίστανται καθώς και τους σχετικούς Κανονισμούς, Διατάγματα, Ρυθμιστικές Αποφάσεις, Αποφάσεις και Κανόνες εκδίδονται δυνάμει αυτών.</w:t>
            </w:r>
          </w:p>
        </w:tc>
      </w:tr>
      <w:tr w:rsidR="003E2786" w:rsidRPr="00694193" w14:paraId="59F60EBC" w14:textId="77777777" w:rsidTr="001A6BC4">
        <w:trPr>
          <w:trHeight w:val="288"/>
        </w:trPr>
        <w:tc>
          <w:tcPr>
            <w:tcW w:w="1898" w:type="dxa"/>
            <w:shd w:val="clear" w:color="auto" w:fill="FFFFFF"/>
          </w:tcPr>
          <w:p w14:paraId="6455CE08"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4ACDF327" w14:textId="77777777" w:rsidR="0047533B" w:rsidRPr="00642EF7" w:rsidRDefault="0047533B" w:rsidP="0047533B">
            <w:pPr>
              <w:spacing w:line="360" w:lineRule="auto"/>
              <w:jc w:val="both"/>
              <w:rPr>
                <w:rFonts w:ascii="Arial" w:hAnsi="Arial" w:cs="Arial"/>
                <w:sz w:val="22"/>
                <w:szCs w:val="22"/>
                <w:lang w:val="el-GR"/>
              </w:rPr>
            </w:pPr>
          </w:p>
        </w:tc>
      </w:tr>
      <w:tr w:rsidR="003E2786" w:rsidRPr="00694193" w14:paraId="539D8371" w14:textId="77777777" w:rsidTr="001A6BC4">
        <w:trPr>
          <w:trHeight w:val="288"/>
        </w:trPr>
        <w:tc>
          <w:tcPr>
            <w:tcW w:w="1898" w:type="dxa"/>
            <w:shd w:val="clear" w:color="auto" w:fill="FFFFFF"/>
          </w:tcPr>
          <w:p w14:paraId="4FA02DE5" w14:textId="3DF0DDB7" w:rsidR="0047533B" w:rsidRPr="00642EF7" w:rsidRDefault="0047533B" w:rsidP="00781831">
            <w:pPr>
              <w:spacing w:line="360" w:lineRule="auto"/>
              <w:rPr>
                <w:rFonts w:ascii="Arial" w:hAnsi="Arial" w:cs="Arial"/>
                <w:sz w:val="22"/>
                <w:szCs w:val="22"/>
                <w:lang w:val="el-GR"/>
              </w:rPr>
            </w:pPr>
            <w:r w:rsidRPr="00642EF7">
              <w:rPr>
                <w:rFonts w:ascii="Arial" w:hAnsi="Arial" w:cs="Arial"/>
                <w:sz w:val="22"/>
                <w:szCs w:val="22"/>
                <w:lang w:val="el-GR"/>
              </w:rPr>
              <w:lastRenderedPageBreak/>
              <w:t xml:space="preserve">Έλεγχος της εγκατάστασης  </w:t>
            </w:r>
            <w:r w:rsidR="00781831" w:rsidRPr="00642EF7">
              <w:rPr>
                <w:rFonts w:ascii="Arial" w:hAnsi="Arial" w:cs="Arial"/>
                <w:sz w:val="22"/>
                <w:szCs w:val="22"/>
                <w:lang w:val="el-GR"/>
              </w:rPr>
              <w:t xml:space="preserve"> δημοσίως </w:t>
            </w:r>
            <w:proofErr w:type="spellStart"/>
            <w:r w:rsidR="00781831" w:rsidRPr="00642EF7">
              <w:rPr>
                <w:rFonts w:ascii="Arial" w:hAnsi="Arial" w:cs="Arial"/>
                <w:sz w:val="22"/>
                <w:szCs w:val="22"/>
                <w:lang w:val="el-GR"/>
              </w:rPr>
              <w:t>προσβάσιμο</w:t>
            </w:r>
            <w:r w:rsidR="00781831">
              <w:rPr>
                <w:rFonts w:ascii="Arial" w:hAnsi="Arial" w:cs="Arial"/>
                <w:sz w:val="22"/>
                <w:szCs w:val="22"/>
                <w:lang w:val="el-GR"/>
              </w:rPr>
              <w:t>υ</w:t>
            </w:r>
            <w:proofErr w:type="spellEnd"/>
            <w:r w:rsidR="00781831" w:rsidRPr="00642EF7">
              <w:rPr>
                <w:rFonts w:ascii="Arial" w:hAnsi="Arial" w:cs="Arial"/>
                <w:sz w:val="22"/>
                <w:szCs w:val="22"/>
                <w:lang w:val="el-GR"/>
              </w:rPr>
              <w:t xml:space="preserve"> </w:t>
            </w:r>
            <w:r w:rsidRPr="00642EF7">
              <w:rPr>
                <w:rFonts w:ascii="Arial" w:hAnsi="Arial" w:cs="Arial"/>
                <w:sz w:val="22"/>
                <w:szCs w:val="22"/>
                <w:lang w:val="el-GR"/>
              </w:rPr>
              <w:t>σημείου επαναφόρτισης</w:t>
            </w:r>
          </w:p>
        </w:tc>
        <w:tc>
          <w:tcPr>
            <w:tcW w:w="8002" w:type="dxa"/>
            <w:shd w:val="clear" w:color="auto" w:fill="FFFFFF"/>
          </w:tcPr>
          <w:p w14:paraId="4F0D7DBC" w14:textId="65E04A73" w:rsidR="0047533B" w:rsidRPr="00642EF7" w:rsidRDefault="0047533B" w:rsidP="00C11569">
            <w:pPr>
              <w:spacing w:line="360" w:lineRule="auto"/>
              <w:jc w:val="both"/>
              <w:rPr>
                <w:rFonts w:ascii="Arial" w:hAnsi="Arial" w:cs="Arial"/>
                <w:sz w:val="22"/>
                <w:szCs w:val="22"/>
                <w:lang w:val="el-GR"/>
              </w:rPr>
            </w:pPr>
            <w:r w:rsidRPr="00642EF7">
              <w:rPr>
                <w:rFonts w:ascii="Arial" w:hAnsi="Arial" w:cs="Arial"/>
                <w:sz w:val="22"/>
                <w:szCs w:val="22"/>
                <w:lang w:val="el-GR"/>
              </w:rPr>
              <w:t xml:space="preserve">8. </w:t>
            </w:r>
            <w:r w:rsidR="00C11569" w:rsidRPr="008A3716">
              <w:rPr>
                <w:lang w:val="el-GR"/>
              </w:rPr>
              <w:t xml:space="preserve"> </w:t>
            </w:r>
            <w:r w:rsidR="00C11569" w:rsidRPr="00C11569">
              <w:rPr>
                <w:rFonts w:ascii="Arial" w:hAnsi="Arial" w:cs="Arial"/>
                <w:sz w:val="22"/>
                <w:szCs w:val="22"/>
                <w:lang w:val="el-GR"/>
              </w:rPr>
              <w:t xml:space="preserve">Πριν την έναρξη λειτουργίας κάθε </w:t>
            </w:r>
            <w:r w:rsidR="00781831" w:rsidRPr="00642EF7">
              <w:rPr>
                <w:rFonts w:ascii="Arial" w:hAnsi="Arial" w:cs="Arial"/>
                <w:sz w:val="22"/>
                <w:szCs w:val="22"/>
                <w:lang w:val="el-GR"/>
              </w:rPr>
              <w:t xml:space="preserve"> δημοσίως </w:t>
            </w:r>
            <w:proofErr w:type="spellStart"/>
            <w:r w:rsidR="00781831" w:rsidRPr="00642EF7">
              <w:rPr>
                <w:rFonts w:ascii="Arial" w:hAnsi="Arial" w:cs="Arial"/>
                <w:sz w:val="22"/>
                <w:szCs w:val="22"/>
                <w:lang w:val="el-GR"/>
              </w:rPr>
              <w:t>προσβάσιμο</w:t>
            </w:r>
            <w:r w:rsidR="00781831">
              <w:rPr>
                <w:rFonts w:ascii="Arial" w:hAnsi="Arial" w:cs="Arial"/>
                <w:sz w:val="22"/>
                <w:szCs w:val="22"/>
                <w:lang w:val="el-GR"/>
              </w:rPr>
              <w:t>υ</w:t>
            </w:r>
            <w:proofErr w:type="spellEnd"/>
            <w:r w:rsidR="00781831" w:rsidRPr="00642EF7">
              <w:rPr>
                <w:rFonts w:ascii="Arial" w:hAnsi="Arial" w:cs="Arial"/>
                <w:sz w:val="22"/>
                <w:szCs w:val="22"/>
                <w:lang w:val="el-GR"/>
              </w:rPr>
              <w:t xml:space="preserve"> </w:t>
            </w:r>
            <w:r w:rsidR="00C11569" w:rsidRPr="00C11569">
              <w:rPr>
                <w:rFonts w:ascii="Arial" w:hAnsi="Arial" w:cs="Arial"/>
                <w:sz w:val="22"/>
                <w:szCs w:val="22"/>
                <w:lang w:val="el-GR"/>
              </w:rPr>
              <w:t>ΣΕ, η εγκατάσταση υπόκειται σε έγκριση από την Αρμόδια Αρχή που θα ελέγξει κατά πόσο πληρούνται οι πρόνοιες της νομοθεσίας. Ο εγκαταστάτης των συσκευών επαναφόρτισης μαζί με το αίτημα για έγκριση από την αρμόδια αρχή, θα υποβάλει πιστοποιητικό επιθεώρησης της ηλεκτρικής εγκατάστασης με βάση τον περί Ηλεκτρισμού Νόμο και Κανονισμούς όπως αυτοί εκάστοτε τροποποιούνται ή αντικαθίστανται, τα σχετικά σχέδια της ηλεκτρολογικής εγκατάστασης, τεχνικά χαρακτηριστικά του εξοπλισμού όπως επίσης και υπεύθυνη δήλωση του κατά νόμο υπευθύνου εγκαταστάτη ότι η εγκατάσταση αυτή εκτελέστηκε σύμφωνα με τις σχετικές νομοθεσίες και το παρόν Διάταγμα. Η αρμόδια αρχή δύναται να προβεί σε δειγματολογικό έλεγχο των ΣΕ.</w:t>
            </w:r>
          </w:p>
        </w:tc>
      </w:tr>
      <w:tr w:rsidR="003E2786" w:rsidRPr="00694193" w14:paraId="32B5A63C" w14:textId="77777777" w:rsidTr="001A6BC4">
        <w:trPr>
          <w:trHeight w:val="288"/>
        </w:trPr>
        <w:tc>
          <w:tcPr>
            <w:tcW w:w="1898" w:type="dxa"/>
            <w:shd w:val="clear" w:color="auto" w:fill="FFFFFF"/>
          </w:tcPr>
          <w:p w14:paraId="5CC86057"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0E24BEBA" w14:textId="77777777" w:rsidR="0047533B" w:rsidRPr="00642EF7" w:rsidRDefault="0047533B" w:rsidP="0047533B">
            <w:pPr>
              <w:spacing w:line="360" w:lineRule="auto"/>
              <w:jc w:val="both"/>
              <w:rPr>
                <w:rFonts w:ascii="Arial" w:hAnsi="Arial" w:cs="Arial"/>
                <w:sz w:val="22"/>
                <w:szCs w:val="22"/>
                <w:lang w:val="el-GR"/>
              </w:rPr>
            </w:pPr>
          </w:p>
        </w:tc>
      </w:tr>
      <w:tr w:rsidR="003E2786" w:rsidRPr="00694193" w14:paraId="2CA5BC99" w14:textId="77777777" w:rsidTr="001A6BC4">
        <w:trPr>
          <w:trHeight w:val="288"/>
        </w:trPr>
        <w:tc>
          <w:tcPr>
            <w:tcW w:w="1898" w:type="dxa"/>
            <w:shd w:val="clear" w:color="auto" w:fill="FFFFFF"/>
          </w:tcPr>
          <w:p w14:paraId="7DB71C44"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74C4600D" w14:textId="3D2F5FD8" w:rsidR="0047533B" w:rsidRPr="00642EF7" w:rsidRDefault="0047533B" w:rsidP="00782DF8">
            <w:pPr>
              <w:spacing w:line="360" w:lineRule="auto"/>
              <w:ind w:left="87" w:hanging="87"/>
              <w:jc w:val="both"/>
              <w:rPr>
                <w:rFonts w:ascii="Arial" w:hAnsi="Arial" w:cs="Arial"/>
                <w:sz w:val="22"/>
                <w:szCs w:val="22"/>
                <w:lang w:val="el-GR"/>
              </w:rPr>
            </w:pPr>
            <w:r w:rsidRPr="00642EF7">
              <w:rPr>
                <w:rFonts w:ascii="Arial" w:hAnsi="Arial" w:cs="Arial"/>
                <w:sz w:val="22"/>
                <w:szCs w:val="22"/>
                <w:lang w:val="el-GR"/>
              </w:rPr>
              <w:t xml:space="preserve">9. Τηρουμένων των διατάξεων του παρόντος Διατάγματος, η εγκατάσταση </w:t>
            </w:r>
            <w:r w:rsidR="00782DF8" w:rsidRPr="00642EF7">
              <w:rPr>
                <w:rFonts w:ascii="Arial" w:hAnsi="Arial" w:cs="Arial"/>
                <w:sz w:val="22"/>
                <w:szCs w:val="22"/>
                <w:lang w:val="el-GR"/>
              </w:rPr>
              <w:t>ΣΕ</w:t>
            </w:r>
            <w:r w:rsidRPr="00642EF7">
              <w:rPr>
                <w:rFonts w:ascii="Arial" w:hAnsi="Arial" w:cs="Arial"/>
                <w:sz w:val="22"/>
                <w:szCs w:val="22"/>
                <w:lang w:val="el-GR"/>
              </w:rPr>
              <w:t xml:space="preserve"> υπόκειται στην εξασφάλιση οποιασδήποτε άλλης έγκρισης ή άδειας που απαιτείται από οποιαδήποτε άλλη εθνική νομοθεσία και της υποχρέωσης συμμόρφωσής της με τις σχετικές νομοθετικές διατάξεις.</w:t>
            </w:r>
          </w:p>
        </w:tc>
      </w:tr>
      <w:tr w:rsidR="003E2786" w:rsidRPr="00694193" w14:paraId="4EFB8FB2" w14:textId="77777777" w:rsidTr="001A6BC4">
        <w:trPr>
          <w:trHeight w:val="288"/>
        </w:trPr>
        <w:tc>
          <w:tcPr>
            <w:tcW w:w="1898" w:type="dxa"/>
            <w:shd w:val="clear" w:color="auto" w:fill="FFFFFF"/>
          </w:tcPr>
          <w:p w14:paraId="6D410662" w14:textId="77777777" w:rsidR="0047533B" w:rsidRPr="00642EF7" w:rsidRDefault="0047533B" w:rsidP="0047533B">
            <w:pPr>
              <w:spacing w:line="360" w:lineRule="auto"/>
              <w:rPr>
                <w:rFonts w:ascii="Arial" w:hAnsi="Arial" w:cs="Arial"/>
                <w:sz w:val="22"/>
                <w:szCs w:val="22"/>
                <w:lang w:val="el-GR"/>
              </w:rPr>
            </w:pPr>
          </w:p>
        </w:tc>
        <w:tc>
          <w:tcPr>
            <w:tcW w:w="8002" w:type="dxa"/>
            <w:shd w:val="clear" w:color="auto" w:fill="FFFFFF"/>
          </w:tcPr>
          <w:p w14:paraId="729EBE68" w14:textId="77777777" w:rsidR="0047533B" w:rsidRPr="00642EF7" w:rsidRDefault="0047533B" w:rsidP="0047533B">
            <w:pPr>
              <w:spacing w:line="360" w:lineRule="auto"/>
              <w:jc w:val="both"/>
              <w:rPr>
                <w:rFonts w:ascii="Arial" w:hAnsi="Arial" w:cs="Arial"/>
                <w:sz w:val="22"/>
                <w:szCs w:val="22"/>
                <w:lang w:val="el-GR"/>
              </w:rPr>
            </w:pPr>
          </w:p>
        </w:tc>
      </w:tr>
      <w:tr w:rsidR="003E2786" w:rsidRPr="00694193" w14:paraId="38C0B5D8" w14:textId="77777777" w:rsidTr="001A6BC4">
        <w:trPr>
          <w:trHeight w:val="288"/>
        </w:trPr>
        <w:tc>
          <w:tcPr>
            <w:tcW w:w="1898" w:type="dxa"/>
            <w:shd w:val="clear" w:color="auto" w:fill="FFFFFF"/>
          </w:tcPr>
          <w:p w14:paraId="23C47981" w14:textId="77777777" w:rsidR="0047533B" w:rsidRPr="00642EF7" w:rsidRDefault="0047533B" w:rsidP="0047533B">
            <w:pPr>
              <w:spacing w:line="360" w:lineRule="auto"/>
              <w:rPr>
                <w:rFonts w:ascii="Arial" w:hAnsi="Arial" w:cs="Arial"/>
                <w:sz w:val="22"/>
                <w:szCs w:val="22"/>
                <w:lang w:val="el-GR"/>
              </w:rPr>
            </w:pPr>
            <w:r w:rsidRPr="00642EF7">
              <w:rPr>
                <w:rFonts w:ascii="Arial" w:hAnsi="Arial" w:cs="Arial"/>
                <w:sz w:val="22"/>
                <w:szCs w:val="22"/>
                <w:lang w:val="el-GR"/>
              </w:rPr>
              <w:t>Μεταβατικές διατάξεις</w:t>
            </w:r>
          </w:p>
        </w:tc>
        <w:tc>
          <w:tcPr>
            <w:tcW w:w="8002" w:type="dxa"/>
            <w:shd w:val="clear" w:color="auto" w:fill="FFFFFF"/>
          </w:tcPr>
          <w:p w14:paraId="43761B89" w14:textId="7BDD6FEA" w:rsidR="0047533B" w:rsidRPr="00642EF7" w:rsidRDefault="0047533B" w:rsidP="0047533B">
            <w:pPr>
              <w:spacing w:line="360" w:lineRule="auto"/>
              <w:jc w:val="both"/>
              <w:rPr>
                <w:rFonts w:ascii="Arial" w:hAnsi="Arial" w:cs="Arial"/>
                <w:sz w:val="22"/>
                <w:szCs w:val="22"/>
                <w:lang w:val="el-GR"/>
              </w:rPr>
            </w:pPr>
            <w:r w:rsidRPr="00642EF7">
              <w:rPr>
                <w:rFonts w:ascii="Arial" w:hAnsi="Arial" w:cs="Arial"/>
                <w:sz w:val="22"/>
                <w:szCs w:val="22"/>
                <w:lang w:val="el-GR"/>
              </w:rPr>
              <w:t xml:space="preserve">10. Όλα τα υφιστάμενα </w:t>
            </w:r>
            <w:r w:rsidR="00782DF8" w:rsidRPr="00642EF7">
              <w:rPr>
                <w:rFonts w:ascii="Arial" w:hAnsi="Arial" w:cs="Arial"/>
                <w:sz w:val="22"/>
                <w:szCs w:val="22"/>
                <w:lang w:val="el-GR"/>
              </w:rPr>
              <w:t xml:space="preserve">ΣΕ </w:t>
            </w:r>
            <w:r w:rsidRPr="00642EF7">
              <w:rPr>
                <w:rFonts w:ascii="Arial" w:hAnsi="Arial" w:cs="Arial"/>
                <w:sz w:val="22"/>
                <w:szCs w:val="22"/>
                <w:lang w:val="el-GR"/>
              </w:rPr>
              <w:t xml:space="preserve">οφείλουν να συμμορφωθούν με τις διατάξεις του παρόντος Διατάγματος εντός χρονικού διαστήματος δύο (2) ετών από την ημερομηνία έναρξης ισχύος του. </w:t>
            </w:r>
          </w:p>
          <w:p w14:paraId="3943631F" w14:textId="25CEECF0" w:rsidR="0047533B" w:rsidRPr="00642EF7" w:rsidRDefault="00EF2526" w:rsidP="0047533B">
            <w:pPr>
              <w:spacing w:line="360" w:lineRule="auto"/>
              <w:jc w:val="both"/>
              <w:rPr>
                <w:rFonts w:ascii="Arial" w:hAnsi="Arial" w:cs="Arial"/>
                <w:sz w:val="22"/>
                <w:szCs w:val="22"/>
                <w:lang w:val="el-GR"/>
              </w:rPr>
            </w:pPr>
            <w:r w:rsidRPr="00642EF7">
              <w:rPr>
                <w:rFonts w:ascii="Arial" w:hAnsi="Arial" w:cs="Arial"/>
                <w:sz w:val="22"/>
                <w:szCs w:val="22"/>
                <w:lang w:val="el-GR"/>
              </w:rPr>
              <w:t>Ε</w:t>
            </w:r>
            <w:r w:rsidR="0047533B" w:rsidRPr="00642EF7">
              <w:rPr>
                <w:rFonts w:ascii="Arial" w:hAnsi="Arial" w:cs="Arial"/>
                <w:sz w:val="22"/>
                <w:szCs w:val="22"/>
                <w:lang w:val="el-GR"/>
              </w:rPr>
              <w:t>ξαίρεση από πρόν</w:t>
            </w:r>
            <w:r w:rsidR="00B75246">
              <w:rPr>
                <w:rFonts w:ascii="Arial" w:hAnsi="Arial" w:cs="Arial"/>
                <w:sz w:val="22"/>
                <w:szCs w:val="22"/>
                <w:lang w:val="el-GR"/>
              </w:rPr>
              <w:t xml:space="preserve">οιες του παρόντος Διατάγματος, </w:t>
            </w:r>
            <w:r w:rsidR="0047533B" w:rsidRPr="00642EF7">
              <w:rPr>
                <w:rFonts w:ascii="Arial" w:hAnsi="Arial" w:cs="Arial"/>
                <w:sz w:val="22"/>
                <w:szCs w:val="22"/>
                <w:lang w:val="el-GR"/>
              </w:rPr>
              <w:t xml:space="preserve">δύναται να δοθεί </w:t>
            </w:r>
            <w:r w:rsidR="00FF4941" w:rsidRPr="00642EF7">
              <w:rPr>
                <w:rFonts w:ascii="Arial" w:hAnsi="Arial" w:cs="Arial"/>
                <w:sz w:val="22"/>
                <w:szCs w:val="22"/>
                <w:lang w:val="el-GR"/>
              </w:rPr>
              <w:t xml:space="preserve">από την Αρμόδια Αρχή, </w:t>
            </w:r>
            <w:r w:rsidR="0047533B" w:rsidRPr="00642EF7">
              <w:rPr>
                <w:rFonts w:ascii="Arial" w:hAnsi="Arial" w:cs="Arial"/>
                <w:sz w:val="22"/>
                <w:szCs w:val="22"/>
                <w:lang w:val="el-GR"/>
              </w:rPr>
              <w:t xml:space="preserve">στις περιπτώσεις </w:t>
            </w:r>
            <w:r w:rsidR="00782DF8" w:rsidRPr="00642EF7">
              <w:rPr>
                <w:rFonts w:ascii="Arial" w:hAnsi="Arial" w:cs="Arial"/>
                <w:sz w:val="22"/>
                <w:szCs w:val="22"/>
                <w:lang w:val="el-GR"/>
              </w:rPr>
              <w:t>ΣΕ</w:t>
            </w:r>
            <w:r w:rsidR="0047533B" w:rsidRPr="00642EF7">
              <w:rPr>
                <w:rFonts w:ascii="Arial" w:hAnsi="Arial" w:cs="Arial"/>
                <w:sz w:val="22"/>
                <w:szCs w:val="22"/>
                <w:lang w:val="el-GR"/>
              </w:rPr>
              <w:t xml:space="preserve"> τα οποία έχουν εγκατασταθεί πριν την ημερομηνία ισχύος του παρόν Διατάγματος μετά από σχετικό </w:t>
            </w:r>
            <w:r w:rsidR="00FF4941" w:rsidRPr="00642EF7">
              <w:rPr>
                <w:rFonts w:ascii="Arial" w:hAnsi="Arial" w:cs="Arial"/>
                <w:sz w:val="22"/>
                <w:szCs w:val="22"/>
                <w:lang w:val="el-GR"/>
              </w:rPr>
              <w:t xml:space="preserve">γραπτό </w:t>
            </w:r>
            <w:r w:rsidR="0047533B" w:rsidRPr="00642EF7">
              <w:rPr>
                <w:rFonts w:ascii="Arial" w:hAnsi="Arial" w:cs="Arial"/>
                <w:sz w:val="22"/>
                <w:szCs w:val="22"/>
                <w:lang w:val="el-GR"/>
              </w:rPr>
              <w:t xml:space="preserve">αίτημα του οικείου ΔΣΕΗΟ για </w:t>
            </w:r>
            <w:r w:rsidR="004A6ED2">
              <w:rPr>
                <w:rFonts w:ascii="Arial" w:hAnsi="Arial" w:cs="Arial"/>
                <w:sz w:val="22"/>
                <w:szCs w:val="22"/>
                <w:lang w:val="el-GR"/>
              </w:rPr>
              <w:t xml:space="preserve">τεχνοοικονομικούς </w:t>
            </w:r>
            <w:r w:rsidR="0047533B" w:rsidRPr="00642EF7">
              <w:rPr>
                <w:rFonts w:ascii="Arial" w:hAnsi="Arial" w:cs="Arial"/>
                <w:sz w:val="22"/>
                <w:szCs w:val="22"/>
                <w:lang w:val="el-GR"/>
              </w:rPr>
              <w:t xml:space="preserve">λόγους.  </w:t>
            </w:r>
          </w:p>
          <w:p w14:paraId="1A292D6F" w14:textId="491C85F3" w:rsidR="0047533B" w:rsidRPr="00642EF7" w:rsidRDefault="0047533B" w:rsidP="005061EA">
            <w:pPr>
              <w:spacing w:line="360" w:lineRule="auto"/>
              <w:jc w:val="both"/>
              <w:rPr>
                <w:rFonts w:ascii="Arial" w:hAnsi="Arial" w:cs="Arial"/>
                <w:sz w:val="22"/>
                <w:szCs w:val="22"/>
                <w:lang w:val="el-GR"/>
              </w:rPr>
            </w:pPr>
            <w:r w:rsidRPr="00642EF7">
              <w:rPr>
                <w:rFonts w:ascii="Arial" w:hAnsi="Arial" w:cs="Arial"/>
                <w:sz w:val="22"/>
                <w:szCs w:val="22"/>
                <w:lang w:val="el-GR"/>
              </w:rPr>
              <w:t xml:space="preserve">Οι ΔΣΕΗΟ δημοσίως </w:t>
            </w:r>
            <w:proofErr w:type="spellStart"/>
            <w:r w:rsidRPr="00642EF7">
              <w:rPr>
                <w:rFonts w:ascii="Arial" w:hAnsi="Arial" w:cs="Arial"/>
                <w:sz w:val="22"/>
                <w:szCs w:val="22"/>
                <w:lang w:val="el-GR"/>
              </w:rPr>
              <w:t>προσβάσιμων</w:t>
            </w:r>
            <w:proofErr w:type="spellEnd"/>
            <w:r w:rsidRPr="00642EF7">
              <w:rPr>
                <w:rFonts w:ascii="Arial" w:hAnsi="Arial" w:cs="Arial"/>
                <w:sz w:val="22"/>
                <w:szCs w:val="22"/>
                <w:lang w:val="el-GR"/>
              </w:rPr>
              <w:t xml:space="preserve"> σημείων επαναφόρτισης ηλεκτρικών οχημάτων, που έχουν εγκατασταθεί αποδεδειγμένα πριν την ημερομηνία έναρξης ισχύος του παρόν </w:t>
            </w:r>
            <w:r w:rsidR="005061EA">
              <w:rPr>
                <w:rFonts w:ascii="Arial" w:hAnsi="Arial" w:cs="Arial"/>
                <w:sz w:val="22"/>
                <w:szCs w:val="22"/>
                <w:lang w:val="el-GR"/>
              </w:rPr>
              <w:t>Δ</w:t>
            </w:r>
            <w:r w:rsidRPr="00642EF7">
              <w:rPr>
                <w:rFonts w:ascii="Arial" w:hAnsi="Arial" w:cs="Arial"/>
                <w:sz w:val="22"/>
                <w:szCs w:val="22"/>
                <w:lang w:val="el-GR"/>
              </w:rPr>
              <w:t>ιατάγματος, θα αποστείλουν κατάλογο των σημεί</w:t>
            </w:r>
            <w:r w:rsidR="005061EA">
              <w:rPr>
                <w:rFonts w:ascii="Arial" w:hAnsi="Arial" w:cs="Arial"/>
                <w:sz w:val="22"/>
                <w:szCs w:val="22"/>
                <w:lang w:val="el-GR"/>
              </w:rPr>
              <w:t xml:space="preserve">ων αυτών προς την Αρμόδια Αρχή </w:t>
            </w:r>
            <w:r w:rsidRPr="00642EF7">
              <w:rPr>
                <w:rFonts w:ascii="Arial" w:hAnsi="Arial" w:cs="Arial"/>
                <w:sz w:val="22"/>
                <w:szCs w:val="22"/>
                <w:lang w:val="el-GR"/>
              </w:rPr>
              <w:t xml:space="preserve">εντός 3 μηνών από την ημερομηνία έναρξης ισχύος του παρόντος </w:t>
            </w:r>
            <w:r w:rsidR="005061EA">
              <w:rPr>
                <w:rFonts w:ascii="Arial" w:hAnsi="Arial" w:cs="Arial"/>
                <w:sz w:val="22"/>
                <w:szCs w:val="22"/>
                <w:lang w:val="el-GR"/>
              </w:rPr>
              <w:t>Δ</w:t>
            </w:r>
            <w:r w:rsidRPr="00642EF7">
              <w:rPr>
                <w:rFonts w:ascii="Arial" w:hAnsi="Arial" w:cs="Arial"/>
                <w:sz w:val="22"/>
                <w:szCs w:val="22"/>
                <w:lang w:val="el-GR"/>
              </w:rPr>
              <w:t xml:space="preserve">ιατάγματος. </w:t>
            </w:r>
          </w:p>
        </w:tc>
      </w:tr>
    </w:tbl>
    <w:p w14:paraId="540CF3FD" w14:textId="281E6079" w:rsidR="00804551" w:rsidRDefault="00804551" w:rsidP="00872E76">
      <w:pPr>
        <w:spacing w:before="120"/>
        <w:jc w:val="both"/>
        <w:rPr>
          <w:rFonts w:ascii="Arial" w:hAnsi="Arial" w:cs="Arial"/>
          <w:sz w:val="22"/>
          <w:szCs w:val="22"/>
          <w:lang w:val="el-GR"/>
        </w:rPr>
      </w:pPr>
    </w:p>
    <w:p w14:paraId="3067D91A" w14:textId="1B007771" w:rsidR="0001026F" w:rsidRDefault="0001026F" w:rsidP="00872E76">
      <w:pPr>
        <w:spacing w:before="120"/>
        <w:jc w:val="both"/>
        <w:rPr>
          <w:rFonts w:ascii="Arial" w:hAnsi="Arial" w:cs="Arial"/>
          <w:sz w:val="22"/>
          <w:szCs w:val="22"/>
          <w:lang w:val="el-GR"/>
        </w:rPr>
      </w:pPr>
    </w:p>
    <w:p w14:paraId="7BF2D7FA" w14:textId="651DD4B7" w:rsidR="0001026F" w:rsidRDefault="0001026F" w:rsidP="00872E76">
      <w:pPr>
        <w:spacing w:before="120"/>
        <w:jc w:val="both"/>
        <w:rPr>
          <w:rFonts w:ascii="Arial" w:hAnsi="Arial" w:cs="Arial"/>
          <w:sz w:val="22"/>
          <w:szCs w:val="22"/>
          <w:lang w:val="el-GR"/>
        </w:rPr>
      </w:pPr>
      <w:r>
        <w:rPr>
          <w:rFonts w:ascii="Arial" w:hAnsi="Arial" w:cs="Arial"/>
          <w:sz w:val="22"/>
          <w:szCs w:val="22"/>
          <w:lang w:val="el-GR"/>
        </w:rPr>
        <w:t xml:space="preserve">                                                                                                                 Γιάννης </w:t>
      </w:r>
      <w:proofErr w:type="spellStart"/>
      <w:r>
        <w:rPr>
          <w:rFonts w:ascii="Arial" w:hAnsi="Arial" w:cs="Arial"/>
          <w:sz w:val="22"/>
          <w:szCs w:val="22"/>
          <w:lang w:val="el-GR"/>
        </w:rPr>
        <w:t>Καρούσος</w:t>
      </w:r>
      <w:proofErr w:type="spellEnd"/>
    </w:p>
    <w:p w14:paraId="44766525" w14:textId="1EB4F9E4" w:rsidR="0001026F" w:rsidRDefault="0001026F" w:rsidP="0001026F">
      <w:pPr>
        <w:jc w:val="both"/>
        <w:rPr>
          <w:rFonts w:ascii="Arial" w:hAnsi="Arial" w:cs="Arial"/>
          <w:sz w:val="22"/>
          <w:szCs w:val="22"/>
          <w:lang w:val="el-GR"/>
        </w:rPr>
      </w:pPr>
      <w:r>
        <w:rPr>
          <w:rFonts w:ascii="Arial" w:hAnsi="Arial" w:cs="Arial"/>
          <w:sz w:val="22"/>
          <w:szCs w:val="22"/>
          <w:lang w:val="el-GR"/>
        </w:rPr>
        <w:t xml:space="preserve">                                                                               Υπουργός Μεταφορών, Επικοινωνιών και Έργων</w:t>
      </w:r>
    </w:p>
    <w:p w14:paraId="1FE3716D" w14:textId="73833504" w:rsidR="0001026F" w:rsidRDefault="0001026F" w:rsidP="0001026F">
      <w:pPr>
        <w:jc w:val="both"/>
        <w:rPr>
          <w:rFonts w:ascii="Arial" w:hAnsi="Arial" w:cs="Arial"/>
          <w:sz w:val="22"/>
          <w:szCs w:val="22"/>
          <w:lang w:val="el-GR"/>
        </w:rPr>
      </w:pPr>
    </w:p>
    <w:p w14:paraId="314F0E65" w14:textId="77777777" w:rsidR="006B7635" w:rsidRDefault="006B7635" w:rsidP="0001026F">
      <w:pPr>
        <w:jc w:val="both"/>
        <w:rPr>
          <w:rFonts w:ascii="Arial" w:hAnsi="Arial" w:cs="Arial"/>
          <w:sz w:val="22"/>
          <w:szCs w:val="22"/>
          <w:lang w:val="el-GR"/>
        </w:rPr>
      </w:pPr>
      <w:r>
        <w:rPr>
          <w:rFonts w:ascii="Arial" w:hAnsi="Arial" w:cs="Arial"/>
          <w:sz w:val="22"/>
          <w:szCs w:val="22"/>
          <w:lang w:val="el-GR"/>
        </w:rPr>
        <w:t xml:space="preserve">     </w:t>
      </w:r>
    </w:p>
    <w:p w14:paraId="0B95D32B" w14:textId="0EA48C54" w:rsidR="0001026F" w:rsidRPr="0001026F" w:rsidRDefault="006B7635" w:rsidP="0001026F">
      <w:pPr>
        <w:jc w:val="both"/>
        <w:rPr>
          <w:rFonts w:ascii="Arial" w:hAnsi="Arial" w:cs="Arial"/>
          <w:sz w:val="22"/>
          <w:szCs w:val="22"/>
          <w:lang w:val="el-GR"/>
        </w:rPr>
      </w:pPr>
      <w:r>
        <w:rPr>
          <w:rFonts w:ascii="Arial" w:hAnsi="Arial" w:cs="Arial"/>
          <w:sz w:val="22"/>
          <w:szCs w:val="22"/>
          <w:lang w:val="el-GR"/>
        </w:rPr>
        <w:t xml:space="preserve">              </w:t>
      </w:r>
      <w:proofErr w:type="spellStart"/>
      <w:r w:rsidR="0001026F">
        <w:rPr>
          <w:rFonts w:ascii="Arial" w:hAnsi="Arial" w:cs="Arial"/>
          <w:sz w:val="22"/>
          <w:szCs w:val="22"/>
          <w:lang w:val="el-GR"/>
        </w:rPr>
        <w:t>Ημερ</w:t>
      </w:r>
      <w:proofErr w:type="spellEnd"/>
      <w:r w:rsidR="0001026F">
        <w:rPr>
          <w:rFonts w:ascii="Arial" w:hAnsi="Arial" w:cs="Arial"/>
          <w:sz w:val="22"/>
          <w:szCs w:val="22"/>
        </w:rPr>
        <w:t xml:space="preserve">: </w:t>
      </w:r>
      <w:r w:rsidR="00694193">
        <w:rPr>
          <w:rFonts w:ascii="Arial" w:hAnsi="Arial" w:cs="Arial"/>
          <w:sz w:val="22"/>
          <w:szCs w:val="22"/>
          <w:lang w:val="el-GR"/>
        </w:rPr>
        <w:t>3 Φεβρουαρίου</w:t>
      </w:r>
      <w:r w:rsidR="0001026F">
        <w:rPr>
          <w:rFonts w:ascii="Arial" w:hAnsi="Arial" w:cs="Arial"/>
          <w:sz w:val="22"/>
          <w:szCs w:val="22"/>
          <w:lang w:val="el-GR"/>
        </w:rPr>
        <w:t>, 2022</w:t>
      </w:r>
    </w:p>
    <w:sectPr w:rsidR="0001026F" w:rsidRPr="0001026F" w:rsidSect="00B804CF">
      <w:headerReference w:type="even" r:id="rId8"/>
      <w:headerReference w:type="default" r:id="rId9"/>
      <w:pgSz w:w="11907" w:h="16839" w:code="9"/>
      <w:pgMar w:top="1418" w:right="1134" w:bottom="130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9F0C" w14:textId="77777777" w:rsidR="008927AE" w:rsidRDefault="008927AE">
      <w:r>
        <w:separator/>
      </w:r>
    </w:p>
  </w:endnote>
  <w:endnote w:type="continuationSeparator" w:id="0">
    <w:p w14:paraId="04DCEE00" w14:textId="77777777" w:rsidR="008927AE" w:rsidRDefault="0089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51D3" w14:textId="77777777" w:rsidR="008927AE" w:rsidRDefault="008927AE">
      <w:r>
        <w:separator/>
      </w:r>
    </w:p>
  </w:footnote>
  <w:footnote w:type="continuationSeparator" w:id="0">
    <w:p w14:paraId="2607E456" w14:textId="77777777" w:rsidR="008927AE" w:rsidRDefault="0089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068E" w14:textId="77777777" w:rsidR="00CA4981" w:rsidRDefault="00CA4981" w:rsidP="00C44B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D40AA" w14:textId="77777777" w:rsidR="00CA4981" w:rsidRDefault="00CA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E5FE" w14:textId="30CD51EA" w:rsidR="00CA4981" w:rsidRDefault="00CA4981" w:rsidP="007E53F9">
    <w:pPr>
      <w:pStyle w:val="Header"/>
      <w:jc w:val="center"/>
    </w:pPr>
    <w:r>
      <w:fldChar w:fldCharType="begin"/>
    </w:r>
    <w:r>
      <w:instrText xml:space="preserve"> PAGE   \* MERGEFORMAT </w:instrText>
    </w:r>
    <w:r>
      <w:fldChar w:fldCharType="separate"/>
    </w:r>
    <w:r w:rsidR="00C930B1">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51C5"/>
    <w:multiLevelType w:val="hybridMultilevel"/>
    <w:tmpl w:val="0BB460C2"/>
    <w:lvl w:ilvl="0" w:tplc="4A96C11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2A7516E"/>
    <w:multiLevelType w:val="hybridMultilevel"/>
    <w:tmpl w:val="DDA2113E"/>
    <w:lvl w:ilvl="0" w:tplc="DCE4A3D8">
      <w:start w:val="1"/>
      <w:numFmt w:val="bullet"/>
      <w:lvlText w:val=""/>
      <w:lvlJc w:val="left"/>
      <w:pPr>
        <w:tabs>
          <w:tab w:val="num" w:pos="1069"/>
        </w:tabs>
        <w:ind w:left="1069" w:hanging="360"/>
      </w:pPr>
      <w:rPr>
        <w:rFonts w:ascii="Symbol" w:hAnsi="Symbol" w:hint="default"/>
        <w:sz w:val="22"/>
        <w:szCs w:val="22"/>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4426589"/>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CE776B8"/>
    <w:multiLevelType w:val="hybridMultilevel"/>
    <w:tmpl w:val="61BA720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3033A"/>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2D7A4D5D"/>
    <w:multiLevelType w:val="hybridMultilevel"/>
    <w:tmpl w:val="DA22D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709F2"/>
    <w:multiLevelType w:val="hybridMultilevel"/>
    <w:tmpl w:val="810AC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A0F64"/>
    <w:multiLevelType w:val="hybridMultilevel"/>
    <w:tmpl w:val="48D803C8"/>
    <w:lvl w:ilvl="0" w:tplc="7200F9DE">
      <w:start w:val="1"/>
      <w:numFmt w:val="decimal"/>
      <w:lvlText w:val="%1."/>
      <w:lvlJc w:val="left"/>
      <w:pPr>
        <w:ind w:left="502" w:hanging="360"/>
      </w:pPr>
      <w:rPr>
        <w:rFonts w:ascii="Arial" w:hAnsi="Arial" w:cs="Arial" w:hint="default"/>
        <w:i w:val="0"/>
        <w:color w:val="auto"/>
        <w:sz w:val="22"/>
        <w:szCs w:val="22"/>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4765228F"/>
    <w:multiLevelType w:val="hybridMultilevel"/>
    <w:tmpl w:val="EA72C192"/>
    <w:lvl w:ilvl="0" w:tplc="E176166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8279C9"/>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495576AB"/>
    <w:multiLevelType w:val="hybridMultilevel"/>
    <w:tmpl w:val="9F90FC7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F3979A0"/>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52C50F93"/>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532876DB"/>
    <w:multiLevelType w:val="hybridMultilevel"/>
    <w:tmpl w:val="0846B23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7F04F2B"/>
    <w:multiLevelType w:val="hybridMultilevel"/>
    <w:tmpl w:val="BA76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B6F30"/>
    <w:multiLevelType w:val="multilevel"/>
    <w:tmpl w:val="9D08CD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b w:val="0"/>
        <w:sz w:val="22"/>
        <w:szCs w:val="22"/>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621F0C90"/>
    <w:multiLevelType w:val="multilevel"/>
    <w:tmpl w:val="488C9F06"/>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5786925"/>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15:restartNumberingAfterBreak="0">
    <w:nsid w:val="6E3A0164"/>
    <w:multiLevelType w:val="hybridMultilevel"/>
    <w:tmpl w:val="0D2490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DD3DFC"/>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72B30170"/>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75004FB0"/>
    <w:multiLevelType w:val="hybridMultilevel"/>
    <w:tmpl w:val="C3BC8D8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6BE36FE"/>
    <w:multiLevelType w:val="hybridMultilevel"/>
    <w:tmpl w:val="F4CA9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7447A3"/>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78DE3D7F"/>
    <w:multiLevelType w:val="hybridMultilevel"/>
    <w:tmpl w:val="DB664FEE"/>
    <w:lvl w:ilvl="0" w:tplc="0409000F">
      <w:start w:val="1"/>
      <w:numFmt w:val="decimal"/>
      <w:lvlText w:val="%1."/>
      <w:lvlJc w:val="lef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7ADE7282"/>
    <w:multiLevelType w:val="hybridMultilevel"/>
    <w:tmpl w:val="775ECE9A"/>
    <w:lvl w:ilvl="0" w:tplc="52BA3318">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6"/>
  </w:num>
  <w:num w:numId="2">
    <w:abstractNumId w:val="10"/>
  </w:num>
  <w:num w:numId="3">
    <w:abstractNumId w:val="5"/>
  </w:num>
  <w:num w:numId="4">
    <w:abstractNumId w:val="13"/>
  </w:num>
  <w:num w:numId="5">
    <w:abstractNumId w:val="14"/>
  </w:num>
  <w:num w:numId="6">
    <w:abstractNumId w:val="3"/>
  </w:num>
  <w:num w:numId="7">
    <w:abstractNumId w:val="9"/>
  </w:num>
  <w:num w:numId="8">
    <w:abstractNumId w:val="2"/>
  </w:num>
  <w:num w:numId="9">
    <w:abstractNumId w:val="24"/>
  </w:num>
  <w:num w:numId="10">
    <w:abstractNumId w:val="17"/>
  </w:num>
  <w:num w:numId="11">
    <w:abstractNumId w:val="11"/>
  </w:num>
  <w:num w:numId="12">
    <w:abstractNumId w:val="19"/>
  </w:num>
  <w:num w:numId="13">
    <w:abstractNumId w:val="20"/>
  </w:num>
  <w:num w:numId="14">
    <w:abstractNumId w:val="12"/>
  </w:num>
  <w:num w:numId="15">
    <w:abstractNumId w:val="4"/>
  </w:num>
  <w:num w:numId="16">
    <w:abstractNumId w:val="23"/>
  </w:num>
  <w:num w:numId="17">
    <w:abstractNumId w:val="15"/>
  </w:num>
  <w:num w:numId="18">
    <w:abstractNumId w:val="1"/>
  </w:num>
  <w:num w:numId="19">
    <w:abstractNumId w:val="18"/>
  </w:num>
  <w:num w:numId="20">
    <w:abstractNumId w:val="16"/>
  </w:num>
  <w:num w:numId="21">
    <w:abstractNumId w:val="8"/>
  </w:num>
  <w:num w:numId="22">
    <w:abstractNumId w:val="0"/>
  </w:num>
  <w:num w:numId="23">
    <w:abstractNumId w:val="22"/>
  </w:num>
  <w:num w:numId="24">
    <w:abstractNumId w:val="7"/>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20"/>
    <w:rsid w:val="0001026F"/>
    <w:rsid w:val="000104DE"/>
    <w:rsid w:val="000111D4"/>
    <w:rsid w:val="00012FE9"/>
    <w:rsid w:val="000146E4"/>
    <w:rsid w:val="00015E2D"/>
    <w:rsid w:val="000173CD"/>
    <w:rsid w:val="000219AD"/>
    <w:rsid w:val="00021E90"/>
    <w:rsid w:val="00022BE2"/>
    <w:rsid w:val="00025A73"/>
    <w:rsid w:val="00026CFE"/>
    <w:rsid w:val="00027470"/>
    <w:rsid w:val="00033B13"/>
    <w:rsid w:val="00035642"/>
    <w:rsid w:val="00037BA6"/>
    <w:rsid w:val="00042989"/>
    <w:rsid w:val="00044327"/>
    <w:rsid w:val="000543CB"/>
    <w:rsid w:val="00056D03"/>
    <w:rsid w:val="000574F2"/>
    <w:rsid w:val="000606D3"/>
    <w:rsid w:val="000618C1"/>
    <w:rsid w:val="000701C5"/>
    <w:rsid w:val="000707EF"/>
    <w:rsid w:val="0007125E"/>
    <w:rsid w:val="00072725"/>
    <w:rsid w:val="000730EF"/>
    <w:rsid w:val="00076456"/>
    <w:rsid w:val="000835E9"/>
    <w:rsid w:val="0008376E"/>
    <w:rsid w:val="00090893"/>
    <w:rsid w:val="000910EF"/>
    <w:rsid w:val="00091A22"/>
    <w:rsid w:val="00091B43"/>
    <w:rsid w:val="000927E8"/>
    <w:rsid w:val="00093EAF"/>
    <w:rsid w:val="000A25CE"/>
    <w:rsid w:val="000A2A8B"/>
    <w:rsid w:val="000A46B8"/>
    <w:rsid w:val="000A5EF7"/>
    <w:rsid w:val="000B61FA"/>
    <w:rsid w:val="000B6704"/>
    <w:rsid w:val="000B7C26"/>
    <w:rsid w:val="000B7C7F"/>
    <w:rsid w:val="000C12E7"/>
    <w:rsid w:val="000C2315"/>
    <w:rsid w:val="000C2B95"/>
    <w:rsid w:val="000C358F"/>
    <w:rsid w:val="000C4B8B"/>
    <w:rsid w:val="000C5E6C"/>
    <w:rsid w:val="000D3CAB"/>
    <w:rsid w:val="000F46F3"/>
    <w:rsid w:val="000F634E"/>
    <w:rsid w:val="000F64AA"/>
    <w:rsid w:val="000F7141"/>
    <w:rsid w:val="000F7DC6"/>
    <w:rsid w:val="001027D6"/>
    <w:rsid w:val="0010324C"/>
    <w:rsid w:val="001054EB"/>
    <w:rsid w:val="001110EC"/>
    <w:rsid w:val="0011538A"/>
    <w:rsid w:val="00115AE0"/>
    <w:rsid w:val="00115EFD"/>
    <w:rsid w:val="001250E3"/>
    <w:rsid w:val="00125437"/>
    <w:rsid w:val="00125BF1"/>
    <w:rsid w:val="001279B8"/>
    <w:rsid w:val="001318EB"/>
    <w:rsid w:val="001338D0"/>
    <w:rsid w:val="00136063"/>
    <w:rsid w:val="001365C8"/>
    <w:rsid w:val="001373D9"/>
    <w:rsid w:val="00141C77"/>
    <w:rsid w:val="00142BA2"/>
    <w:rsid w:val="001558B6"/>
    <w:rsid w:val="00156109"/>
    <w:rsid w:val="00157790"/>
    <w:rsid w:val="001645C7"/>
    <w:rsid w:val="00165759"/>
    <w:rsid w:val="00165FF1"/>
    <w:rsid w:val="00173623"/>
    <w:rsid w:val="00174353"/>
    <w:rsid w:val="00182DB1"/>
    <w:rsid w:val="001837AF"/>
    <w:rsid w:val="00185557"/>
    <w:rsid w:val="001862B7"/>
    <w:rsid w:val="00186384"/>
    <w:rsid w:val="001912AD"/>
    <w:rsid w:val="00192B87"/>
    <w:rsid w:val="00194561"/>
    <w:rsid w:val="001978AE"/>
    <w:rsid w:val="001A37FD"/>
    <w:rsid w:val="001A6BC4"/>
    <w:rsid w:val="001A6F7D"/>
    <w:rsid w:val="001B2088"/>
    <w:rsid w:val="001B3DFF"/>
    <w:rsid w:val="001B5D8E"/>
    <w:rsid w:val="001B7566"/>
    <w:rsid w:val="001C1154"/>
    <w:rsid w:val="001C3BCB"/>
    <w:rsid w:val="001C3FC8"/>
    <w:rsid w:val="001C5B43"/>
    <w:rsid w:val="001C6900"/>
    <w:rsid w:val="001D17B8"/>
    <w:rsid w:val="001D56D5"/>
    <w:rsid w:val="001E03E6"/>
    <w:rsid w:val="001E1D76"/>
    <w:rsid w:val="001F0C09"/>
    <w:rsid w:val="001F17DB"/>
    <w:rsid w:val="001F2A31"/>
    <w:rsid w:val="001F42C9"/>
    <w:rsid w:val="00200C1C"/>
    <w:rsid w:val="00203B7C"/>
    <w:rsid w:val="00203E89"/>
    <w:rsid w:val="0020469A"/>
    <w:rsid w:val="00210D4C"/>
    <w:rsid w:val="00210FD1"/>
    <w:rsid w:val="00211E69"/>
    <w:rsid w:val="00212933"/>
    <w:rsid w:val="002166DA"/>
    <w:rsid w:val="00222B90"/>
    <w:rsid w:val="00225C00"/>
    <w:rsid w:val="0022716B"/>
    <w:rsid w:val="00230F1D"/>
    <w:rsid w:val="00231EAC"/>
    <w:rsid w:val="0023414D"/>
    <w:rsid w:val="00244824"/>
    <w:rsid w:val="00244C7B"/>
    <w:rsid w:val="00245219"/>
    <w:rsid w:val="00245301"/>
    <w:rsid w:val="00245C52"/>
    <w:rsid w:val="00246A94"/>
    <w:rsid w:val="00246EBB"/>
    <w:rsid w:val="00247BF2"/>
    <w:rsid w:val="0025012B"/>
    <w:rsid w:val="002544A8"/>
    <w:rsid w:val="00257CE7"/>
    <w:rsid w:val="00257FBF"/>
    <w:rsid w:val="00260153"/>
    <w:rsid w:val="0026144F"/>
    <w:rsid w:val="00263619"/>
    <w:rsid w:val="00263AB1"/>
    <w:rsid w:val="00270016"/>
    <w:rsid w:val="00270AB1"/>
    <w:rsid w:val="00270C4F"/>
    <w:rsid w:val="00274465"/>
    <w:rsid w:val="00276067"/>
    <w:rsid w:val="00277148"/>
    <w:rsid w:val="0028066A"/>
    <w:rsid w:val="00283240"/>
    <w:rsid w:val="00286AA8"/>
    <w:rsid w:val="00290A5C"/>
    <w:rsid w:val="002927D8"/>
    <w:rsid w:val="00292D56"/>
    <w:rsid w:val="002943BE"/>
    <w:rsid w:val="002950A0"/>
    <w:rsid w:val="002967B4"/>
    <w:rsid w:val="002A0366"/>
    <w:rsid w:val="002A0C34"/>
    <w:rsid w:val="002A33FF"/>
    <w:rsid w:val="002A3897"/>
    <w:rsid w:val="002A4298"/>
    <w:rsid w:val="002A6C06"/>
    <w:rsid w:val="002B021E"/>
    <w:rsid w:val="002B2E94"/>
    <w:rsid w:val="002B3DAF"/>
    <w:rsid w:val="002B5100"/>
    <w:rsid w:val="002B63EC"/>
    <w:rsid w:val="002B6B51"/>
    <w:rsid w:val="002B7BB1"/>
    <w:rsid w:val="002C6772"/>
    <w:rsid w:val="002D2293"/>
    <w:rsid w:val="002D4FB5"/>
    <w:rsid w:val="002D6E93"/>
    <w:rsid w:val="002D760C"/>
    <w:rsid w:val="002E2B08"/>
    <w:rsid w:val="002E62D6"/>
    <w:rsid w:val="002E7632"/>
    <w:rsid w:val="002F7087"/>
    <w:rsid w:val="00300738"/>
    <w:rsid w:val="00301D29"/>
    <w:rsid w:val="00304C55"/>
    <w:rsid w:val="00312D27"/>
    <w:rsid w:val="00322E07"/>
    <w:rsid w:val="00324011"/>
    <w:rsid w:val="003251AA"/>
    <w:rsid w:val="00325C18"/>
    <w:rsid w:val="00325D44"/>
    <w:rsid w:val="0032627C"/>
    <w:rsid w:val="0032642C"/>
    <w:rsid w:val="003332BC"/>
    <w:rsid w:val="00333AF6"/>
    <w:rsid w:val="00333C3E"/>
    <w:rsid w:val="0033432D"/>
    <w:rsid w:val="0034117F"/>
    <w:rsid w:val="0034185C"/>
    <w:rsid w:val="00342BF5"/>
    <w:rsid w:val="0034584B"/>
    <w:rsid w:val="0034599A"/>
    <w:rsid w:val="003466CB"/>
    <w:rsid w:val="00347ACC"/>
    <w:rsid w:val="0035500A"/>
    <w:rsid w:val="00361279"/>
    <w:rsid w:val="00362855"/>
    <w:rsid w:val="00366F36"/>
    <w:rsid w:val="003710E6"/>
    <w:rsid w:val="00374C50"/>
    <w:rsid w:val="003768A7"/>
    <w:rsid w:val="00381852"/>
    <w:rsid w:val="003843C0"/>
    <w:rsid w:val="00392902"/>
    <w:rsid w:val="00392C29"/>
    <w:rsid w:val="00396EDC"/>
    <w:rsid w:val="003A64DA"/>
    <w:rsid w:val="003B405B"/>
    <w:rsid w:val="003B45E9"/>
    <w:rsid w:val="003B47D0"/>
    <w:rsid w:val="003B68AE"/>
    <w:rsid w:val="003D0774"/>
    <w:rsid w:val="003D0932"/>
    <w:rsid w:val="003D2217"/>
    <w:rsid w:val="003D3057"/>
    <w:rsid w:val="003D41C3"/>
    <w:rsid w:val="003D6C6B"/>
    <w:rsid w:val="003E2786"/>
    <w:rsid w:val="003E35CF"/>
    <w:rsid w:val="003E44DB"/>
    <w:rsid w:val="003E6A49"/>
    <w:rsid w:val="003E6B12"/>
    <w:rsid w:val="003E70B9"/>
    <w:rsid w:val="003E750F"/>
    <w:rsid w:val="003E752C"/>
    <w:rsid w:val="003E79FD"/>
    <w:rsid w:val="003F0472"/>
    <w:rsid w:val="003F2151"/>
    <w:rsid w:val="003F24F7"/>
    <w:rsid w:val="003F2617"/>
    <w:rsid w:val="003F67E0"/>
    <w:rsid w:val="0040245C"/>
    <w:rsid w:val="0040713B"/>
    <w:rsid w:val="00407E3B"/>
    <w:rsid w:val="004223A3"/>
    <w:rsid w:val="00422ECD"/>
    <w:rsid w:val="00424135"/>
    <w:rsid w:val="004252CC"/>
    <w:rsid w:val="0042598F"/>
    <w:rsid w:val="00426923"/>
    <w:rsid w:val="004270EA"/>
    <w:rsid w:val="00433F24"/>
    <w:rsid w:val="00436DF9"/>
    <w:rsid w:val="004470AE"/>
    <w:rsid w:val="00447E40"/>
    <w:rsid w:val="00455218"/>
    <w:rsid w:val="00455DC0"/>
    <w:rsid w:val="004643BC"/>
    <w:rsid w:val="00464C85"/>
    <w:rsid w:val="00467801"/>
    <w:rsid w:val="00467E77"/>
    <w:rsid w:val="00470604"/>
    <w:rsid w:val="00471D5C"/>
    <w:rsid w:val="0047533B"/>
    <w:rsid w:val="004831C5"/>
    <w:rsid w:val="00484C5E"/>
    <w:rsid w:val="00490187"/>
    <w:rsid w:val="00490ED5"/>
    <w:rsid w:val="00493929"/>
    <w:rsid w:val="004A0171"/>
    <w:rsid w:val="004A1351"/>
    <w:rsid w:val="004A5E05"/>
    <w:rsid w:val="004A61E0"/>
    <w:rsid w:val="004A6ED2"/>
    <w:rsid w:val="004A7CF6"/>
    <w:rsid w:val="004B0C07"/>
    <w:rsid w:val="004B30FE"/>
    <w:rsid w:val="004B3926"/>
    <w:rsid w:val="004B4D9F"/>
    <w:rsid w:val="004B7105"/>
    <w:rsid w:val="004C149F"/>
    <w:rsid w:val="004C5DF9"/>
    <w:rsid w:val="004C7777"/>
    <w:rsid w:val="004D108D"/>
    <w:rsid w:val="004D150D"/>
    <w:rsid w:val="004D23E4"/>
    <w:rsid w:val="004D2E4F"/>
    <w:rsid w:val="004D3389"/>
    <w:rsid w:val="004D5191"/>
    <w:rsid w:val="004E1A4D"/>
    <w:rsid w:val="004F14F6"/>
    <w:rsid w:val="004F4C01"/>
    <w:rsid w:val="004F7303"/>
    <w:rsid w:val="005017C1"/>
    <w:rsid w:val="00501E01"/>
    <w:rsid w:val="00502B21"/>
    <w:rsid w:val="00505FE2"/>
    <w:rsid w:val="005061EA"/>
    <w:rsid w:val="00510187"/>
    <w:rsid w:val="005132AC"/>
    <w:rsid w:val="005143A6"/>
    <w:rsid w:val="005172B4"/>
    <w:rsid w:val="00517B8E"/>
    <w:rsid w:val="00517C29"/>
    <w:rsid w:val="00520399"/>
    <w:rsid w:val="005230CA"/>
    <w:rsid w:val="00527697"/>
    <w:rsid w:val="005276F1"/>
    <w:rsid w:val="00540177"/>
    <w:rsid w:val="005464DE"/>
    <w:rsid w:val="005516B7"/>
    <w:rsid w:val="0055273B"/>
    <w:rsid w:val="00553C10"/>
    <w:rsid w:val="00555D62"/>
    <w:rsid w:val="00560D46"/>
    <w:rsid w:val="00561EE5"/>
    <w:rsid w:val="00563F80"/>
    <w:rsid w:val="00567038"/>
    <w:rsid w:val="005721EC"/>
    <w:rsid w:val="0057673C"/>
    <w:rsid w:val="0058462F"/>
    <w:rsid w:val="00587ECC"/>
    <w:rsid w:val="00590537"/>
    <w:rsid w:val="00592E41"/>
    <w:rsid w:val="0059378D"/>
    <w:rsid w:val="0059646A"/>
    <w:rsid w:val="005A129C"/>
    <w:rsid w:val="005A38D8"/>
    <w:rsid w:val="005A4AF9"/>
    <w:rsid w:val="005A7FAB"/>
    <w:rsid w:val="005B35B5"/>
    <w:rsid w:val="005B671D"/>
    <w:rsid w:val="005C1A4F"/>
    <w:rsid w:val="005C256A"/>
    <w:rsid w:val="005C31CB"/>
    <w:rsid w:val="005D3501"/>
    <w:rsid w:val="005D5F1F"/>
    <w:rsid w:val="005D6381"/>
    <w:rsid w:val="005D7C62"/>
    <w:rsid w:val="005E0C14"/>
    <w:rsid w:val="005E1C37"/>
    <w:rsid w:val="005E3CBC"/>
    <w:rsid w:val="005E623A"/>
    <w:rsid w:val="005E798D"/>
    <w:rsid w:val="005F0B02"/>
    <w:rsid w:val="005F356A"/>
    <w:rsid w:val="005F77CC"/>
    <w:rsid w:val="00602904"/>
    <w:rsid w:val="006037BA"/>
    <w:rsid w:val="00605193"/>
    <w:rsid w:val="006209FF"/>
    <w:rsid w:val="0062105C"/>
    <w:rsid w:val="00621304"/>
    <w:rsid w:val="00622819"/>
    <w:rsid w:val="00626844"/>
    <w:rsid w:val="00632A5C"/>
    <w:rsid w:val="006337F3"/>
    <w:rsid w:val="00642EF7"/>
    <w:rsid w:val="00643F39"/>
    <w:rsid w:val="006448D1"/>
    <w:rsid w:val="00653B32"/>
    <w:rsid w:val="006550E2"/>
    <w:rsid w:val="006565A0"/>
    <w:rsid w:val="0066203B"/>
    <w:rsid w:val="00665CCC"/>
    <w:rsid w:val="006712DC"/>
    <w:rsid w:val="00673DF6"/>
    <w:rsid w:val="006761C5"/>
    <w:rsid w:val="00677032"/>
    <w:rsid w:val="00680F7E"/>
    <w:rsid w:val="00682C20"/>
    <w:rsid w:val="00686AA1"/>
    <w:rsid w:val="00694193"/>
    <w:rsid w:val="00694195"/>
    <w:rsid w:val="00695E38"/>
    <w:rsid w:val="0069740A"/>
    <w:rsid w:val="00697524"/>
    <w:rsid w:val="006B17AC"/>
    <w:rsid w:val="006B28D4"/>
    <w:rsid w:val="006B5AD1"/>
    <w:rsid w:val="006B7558"/>
    <w:rsid w:val="006B7635"/>
    <w:rsid w:val="006C523E"/>
    <w:rsid w:val="006C7522"/>
    <w:rsid w:val="006C7A64"/>
    <w:rsid w:val="006C7E43"/>
    <w:rsid w:val="006D18B3"/>
    <w:rsid w:val="006D4418"/>
    <w:rsid w:val="006D6E5F"/>
    <w:rsid w:val="006E1F8B"/>
    <w:rsid w:val="006E7EF7"/>
    <w:rsid w:val="00707350"/>
    <w:rsid w:val="0070794F"/>
    <w:rsid w:val="00714934"/>
    <w:rsid w:val="00714AF9"/>
    <w:rsid w:val="00720AC3"/>
    <w:rsid w:val="007253D0"/>
    <w:rsid w:val="0073126E"/>
    <w:rsid w:val="0073260A"/>
    <w:rsid w:val="00740300"/>
    <w:rsid w:val="0076733F"/>
    <w:rsid w:val="00771222"/>
    <w:rsid w:val="00777954"/>
    <w:rsid w:val="00777E43"/>
    <w:rsid w:val="00781831"/>
    <w:rsid w:val="007828BF"/>
    <w:rsid w:val="00782DF8"/>
    <w:rsid w:val="00784303"/>
    <w:rsid w:val="00785AC3"/>
    <w:rsid w:val="0078652A"/>
    <w:rsid w:val="007929E3"/>
    <w:rsid w:val="00795082"/>
    <w:rsid w:val="007958F7"/>
    <w:rsid w:val="00795BEC"/>
    <w:rsid w:val="00796AB8"/>
    <w:rsid w:val="007A061F"/>
    <w:rsid w:val="007A1F9A"/>
    <w:rsid w:val="007A3BF2"/>
    <w:rsid w:val="007A4C86"/>
    <w:rsid w:val="007A630D"/>
    <w:rsid w:val="007A6565"/>
    <w:rsid w:val="007A69BA"/>
    <w:rsid w:val="007A72EF"/>
    <w:rsid w:val="007A7735"/>
    <w:rsid w:val="007B003C"/>
    <w:rsid w:val="007B1EF0"/>
    <w:rsid w:val="007B6B58"/>
    <w:rsid w:val="007C1B70"/>
    <w:rsid w:val="007C266E"/>
    <w:rsid w:val="007C3F7C"/>
    <w:rsid w:val="007C5300"/>
    <w:rsid w:val="007D25EB"/>
    <w:rsid w:val="007D4392"/>
    <w:rsid w:val="007D497C"/>
    <w:rsid w:val="007D7A19"/>
    <w:rsid w:val="007D7EE5"/>
    <w:rsid w:val="007D7F35"/>
    <w:rsid w:val="007E0293"/>
    <w:rsid w:val="007E53F9"/>
    <w:rsid w:val="007F4496"/>
    <w:rsid w:val="007F568B"/>
    <w:rsid w:val="008008BC"/>
    <w:rsid w:val="00804261"/>
    <w:rsid w:val="00804551"/>
    <w:rsid w:val="0080749E"/>
    <w:rsid w:val="00811E9C"/>
    <w:rsid w:val="008128E1"/>
    <w:rsid w:val="00813669"/>
    <w:rsid w:val="008150E5"/>
    <w:rsid w:val="008174FD"/>
    <w:rsid w:val="00820263"/>
    <w:rsid w:val="00825119"/>
    <w:rsid w:val="00825E8C"/>
    <w:rsid w:val="00826645"/>
    <w:rsid w:val="00830933"/>
    <w:rsid w:val="0083102E"/>
    <w:rsid w:val="00831450"/>
    <w:rsid w:val="00831FD5"/>
    <w:rsid w:val="00834DF4"/>
    <w:rsid w:val="008407B0"/>
    <w:rsid w:val="008444D9"/>
    <w:rsid w:val="00847568"/>
    <w:rsid w:val="00850372"/>
    <w:rsid w:val="0085058F"/>
    <w:rsid w:val="0085191B"/>
    <w:rsid w:val="00856F66"/>
    <w:rsid w:val="00860EF1"/>
    <w:rsid w:val="008618C5"/>
    <w:rsid w:val="008622A6"/>
    <w:rsid w:val="00862567"/>
    <w:rsid w:val="00866E5A"/>
    <w:rsid w:val="00870F3C"/>
    <w:rsid w:val="00872B60"/>
    <w:rsid w:val="00872D87"/>
    <w:rsid w:val="00872E76"/>
    <w:rsid w:val="00874000"/>
    <w:rsid w:val="0087747F"/>
    <w:rsid w:val="008821B7"/>
    <w:rsid w:val="008927AE"/>
    <w:rsid w:val="008A0501"/>
    <w:rsid w:val="008A3716"/>
    <w:rsid w:val="008A5017"/>
    <w:rsid w:val="008A766A"/>
    <w:rsid w:val="008B6A89"/>
    <w:rsid w:val="008C2CF9"/>
    <w:rsid w:val="008C35D0"/>
    <w:rsid w:val="008C47E9"/>
    <w:rsid w:val="008D0956"/>
    <w:rsid w:val="008D31DF"/>
    <w:rsid w:val="008D474C"/>
    <w:rsid w:val="008D642E"/>
    <w:rsid w:val="008D6704"/>
    <w:rsid w:val="008D6C8D"/>
    <w:rsid w:val="008E000B"/>
    <w:rsid w:val="008E12CD"/>
    <w:rsid w:val="008E2E1F"/>
    <w:rsid w:val="008F21B1"/>
    <w:rsid w:val="008F5884"/>
    <w:rsid w:val="00904120"/>
    <w:rsid w:val="00904125"/>
    <w:rsid w:val="009044FA"/>
    <w:rsid w:val="00905C3B"/>
    <w:rsid w:val="00910AA3"/>
    <w:rsid w:val="00914019"/>
    <w:rsid w:val="009209A3"/>
    <w:rsid w:val="00922378"/>
    <w:rsid w:val="00932A6B"/>
    <w:rsid w:val="00934630"/>
    <w:rsid w:val="0093703F"/>
    <w:rsid w:val="00942424"/>
    <w:rsid w:val="00942686"/>
    <w:rsid w:val="00943FA5"/>
    <w:rsid w:val="009451A7"/>
    <w:rsid w:val="00951024"/>
    <w:rsid w:val="00952BA2"/>
    <w:rsid w:val="00953933"/>
    <w:rsid w:val="009601DB"/>
    <w:rsid w:val="00960394"/>
    <w:rsid w:val="00964A5B"/>
    <w:rsid w:val="00967CE0"/>
    <w:rsid w:val="00970B86"/>
    <w:rsid w:val="00983881"/>
    <w:rsid w:val="0098435C"/>
    <w:rsid w:val="009855E3"/>
    <w:rsid w:val="0099100C"/>
    <w:rsid w:val="009911A0"/>
    <w:rsid w:val="0099175E"/>
    <w:rsid w:val="009923CD"/>
    <w:rsid w:val="00993BE8"/>
    <w:rsid w:val="009A4B04"/>
    <w:rsid w:val="009A5687"/>
    <w:rsid w:val="009A62C7"/>
    <w:rsid w:val="009A6FDD"/>
    <w:rsid w:val="009B4944"/>
    <w:rsid w:val="009C1CCA"/>
    <w:rsid w:val="009C1D9C"/>
    <w:rsid w:val="009C2A84"/>
    <w:rsid w:val="009C4789"/>
    <w:rsid w:val="009C6C35"/>
    <w:rsid w:val="009C793A"/>
    <w:rsid w:val="009D0E27"/>
    <w:rsid w:val="009D1165"/>
    <w:rsid w:val="009D1555"/>
    <w:rsid w:val="009E4999"/>
    <w:rsid w:val="009E5678"/>
    <w:rsid w:val="009F1C58"/>
    <w:rsid w:val="009F5700"/>
    <w:rsid w:val="009F71B1"/>
    <w:rsid w:val="009F7768"/>
    <w:rsid w:val="00A00C2A"/>
    <w:rsid w:val="00A00DCC"/>
    <w:rsid w:val="00A010E4"/>
    <w:rsid w:val="00A02E97"/>
    <w:rsid w:val="00A069FA"/>
    <w:rsid w:val="00A25049"/>
    <w:rsid w:val="00A33465"/>
    <w:rsid w:val="00A349A7"/>
    <w:rsid w:val="00A433D3"/>
    <w:rsid w:val="00A55786"/>
    <w:rsid w:val="00A55DA2"/>
    <w:rsid w:val="00A5660B"/>
    <w:rsid w:val="00A577B2"/>
    <w:rsid w:val="00A61847"/>
    <w:rsid w:val="00A62EDD"/>
    <w:rsid w:val="00A672FC"/>
    <w:rsid w:val="00A733A5"/>
    <w:rsid w:val="00A760B4"/>
    <w:rsid w:val="00A767AF"/>
    <w:rsid w:val="00A77A94"/>
    <w:rsid w:val="00A80CF7"/>
    <w:rsid w:val="00A82C8A"/>
    <w:rsid w:val="00A863FC"/>
    <w:rsid w:val="00A86A52"/>
    <w:rsid w:val="00A8779F"/>
    <w:rsid w:val="00A92554"/>
    <w:rsid w:val="00A96518"/>
    <w:rsid w:val="00AA1F33"/>
    <w:rsid w:val="00AA2133"/>
    <w:rsid w:val="00AA285A"/>
    <w:rsid w:val="00AA2F00"/>
    <w:rsid w:val="00AA6D04"/>
    <w:rsid w:val="00AB1141"/>
    <w:rsid w:val="00AB2416"/>
    <w:rsid w:val="00AB3510"/>
    <w:rsid w:val="00AB411D"/>
    <w:rsid w:val="00AC2143"/>
    <w:rsid w:val="00AC2B4E"/>
    <w:rsid w:val="00AC76CD"/>
    <w:rsid w:val="00AD5FD5"/>
    <w:rsid w:val="00AD65CB"/>
    <w:rsid w:val="00AE46C9"/>
    <w:rsid w:val="00AF2B2D"/>
    <w:rsid w:val="00AF4C5D"/>
    <w:rsid w:val="00B0234F"/>
    <w:rsid w:val="00B04661"/>
    <w:rsid w:val="00B1326E"/>
    <w:rsid w:val="00B13D36"/>
    <w:rsid w:val="00B14630"/>
    <w:rsid w:val="00B15CD4"/>
    <w:rsid w:val="00B20331"/>
    <w:rsid w:val="00B2276A"/>
    <w:rsid w:val="00B24BE5"/>
    <w:rsid w:val="00B25FC5"/>
    <w:rsid w:val="00B273CB"/>
    <w:rsid w:val="00B3424F"/>
    <w:rsid w:val="00B3726D"/>
    <w:rsid w:val="00B37987"/>
    <w:rsid w:val="00B4090C"/>
    <w:rsid w:val="00B45D48"/>
    <w:rsid w:val="00B46437"/>
    <w:rsid w:val="00B556A0"/>
    <w:rsid w:val="00B57CC9"/>
    <w:rsid w:val="00B63743"/>
    <w:rsid w:val="00B641E2"/>
    <w:rsid w:val="00B667A2"/>
    <w:rsid w:val="00B66AFE"/>
    <w:rsid w:val="00B75246"/>
    <w:rsid w:val="00B75BBC"/>
    <w:rsid w:val="00B75F6E"/>
    <w:rsid w:val="00B76BA1"/>
    <w:rsid w:val="00B76D74"/>
    <w:rsid w:val="00B7718E"/>
    <w:rsid w:val="00B804CF"/>
    <w:rsid w:val="00B8359F"/>
    <w:rsid w:val="00B87F5D"/>
    <w:rsid w:val="00B918BB"/>
    <w:rsid w:val="00B951F5"/>
    <w:rsid w:val="00B954CC"/>
    <w:rsid w:val="00B974E3"/>
    <w:rsid w:val="00B97E56"/>
    <w:rsid w:val="00BA05BD"/>
    <w:rsid w:val="00BA3968"/>
    <w:rsid w:val="00BA4F51"/>
    <w:rsid w:val="00BB1209"/>
    <w:rsid w:val="00BB2BA1"/>
    <w:rsid w:val="00BB48BC"/>
    <w:rsid w:val="00BC0FC5"/>
    <w:rsid w:val="00BC5F30"/>
    <w:rsid w:val="00BD4206"/>
    <w:rsid w:val="00BD4263"/>
    <w:rsid w:val="00BD5232"/>
    <w:rsid w:val="00BD59D3"/>
    <w:rsid w:val="00BD7FA7"/>
    <w:rsid w:val="00BE3466"/>
    <w:rsid w:val="00BE3FEE"/>
    <w:rsid w:val="00BE4308"/>
    <w:rsid w:val="00BE4599"/>
    <w:rsid w:val="00BE4787"/>
    <w:rsid w:val="00BE63A7"/>
    <w:rsid w:val="00BF0ACC"/>
    <w:rsid w:val="00BF1A2F"/>
    <w:rsid w:val="00BF3D94"/>
    <w:rsid w:val="00C024E7"/>
    <w:rsid w:val="00C030F2"/>
    <w:rsid w:val="00C04E92"/>
    <w:rsid w:val="00C07A07"/>
    <w:rsid w:val="00C07AAE"/>
    <w:rsid w:val="00C11569"/>
    <w:rsid w:val="00C12291"/>
    <w:rsid w:val="00C15096"/>
    <w:rsid w:val="00C178DB"/>
    <w:rsid w:val="00C20E1F"/>
    <w:rsid w:val="00C20FFB"/>
    <w:rsid w:val="00C212BA"/>
    <w:rsid w:val="00C24B0A"/>
    <w:rsid w:val="00C25036"/>
    <w:rsid w:val="00C25578"/>
    <w:rsid w:val="00C271BB"/>
    <w:rsid w:val="00C31AB4"/>
    <w:rsid w:val="00C32F0A"/>
    <w:rsid w:val="00C41D7C"/>
    <w:rsid w:val="00C42AB4"/>
    <w:rsid w:val="00C4446F"/>
    <w:rsid w:val="00C44B7B"/>
    <w:rsid w:val="00C5169D"/>
    <w:rsid w:val="00C57C12"/>
    <w:rsid w:val="00C62662"/>
    <w:rsid w:val="00C63AA4"/>
    <w:rsid w:val="00C63D5B"/>
    <w:rsid w:val="00C640B7"/>
    <w:rsid w:val="00C64D60"/>
    <w:rsid w:val="00C65250"/>
    <w:rsid w:val="00C66BD2"/>
    <w:rsid w:val="00C66FBB"/>
    <w:rsid w:val="00C7073D"/>
    <w:rsid w:val="00C707B7"/>
    <w:rsid w:val="00C80DC3"/>
    <w:rsid w:val="00C8497A"/>
    <w:rsid w:val="00C87652"/>
    <w:rsid w:val="00C901AB"/>
    <w:rsid w:val="00C90B7F"/>
    <w:rsid w:val="00C92010"/>
    <w:rsid w:val="00C930B1"/>
    <w:rsid w:val="00C94DDF"/>
    <w:rsid w:val="00C95A59"/>
    <w:rsid w:val="00C96CF2"/>
    <w:rsid w:val="00CA0DFC"/>
    <w:rsid w:val="00CA0FC7"/>
    <w:rsid w:val="00CA3A17"/>
    <w:rsid w:val="00CA4981"/>
    <w:rsid w:val="00CA5DF7"/>
    <w:rsid w:val="00CB0C35"/>
    <w:rsid w:val="00CB28A3"/>
    <w:rsid w:val="00CB408E"/>
    <w:rsid w:val="00CB41AB"/>
    <w:rsid w:val="00CB5BCD"/>
    <w:rsid w:val="00CC0B14"/>
    <w:rsid w:val="00CC3860"/>
    <w:rsid w:val="00CD008A"/>
    <w:rsid w:val="00CD1B85"/>
    <w:rsid w:val="00CE2411"/>
    <w:rsid w:val="00CE422A"/>
    <w:rsid w:val="00CE5B81"/>
    <w:rsid w:val="00CF01D7"/>
    <w:rsid w:val="00CF367C"/>
    <w:rsid w:val="00CF4296"/>
    <w:rsid w:val="00CF4FA7"/>
    <w:rsid w:val="00CF5A65"/>
    <w:rsid w:val="00CF7013"/>
    <w:rsid w:val="00D01F56"/>
    <w:rsid w:val="00D0310B"/>
    <w:rsid w:val="00D0583F"/>
    <w:rsid w:val="00D06612"/>
    <w:rsid w:val="00D10A5D"/>
    <w:rsid w:val="00D114B1"/>
    <w:rsid w:val="00D1171D"/>
    <w:rsid w:val="00D14577"/>
    <w:rsid w:val="00D2138E"/>
    <w:rsid w:val="00D254AF"/>
    <w:rsid w:val="00D26CAF"/>
    <w:rsid w:val="00D32369"/>
    <w:rsid w:val="00D3649E"/>
    <w:rsid w:val="00D366CE"/>
    <w:rsid w:val="00D37FB6"/>
    <w:rsid w:val="00D40B16"/>
    <w:rsid w:val="00D4338C"/>
    <w:rsid w:val="00D550FD"/>
    <w:rsid w:val="00D60F01"/>
    <w:rsid w:val="00D61AE9"/>
    <w:rsid w:val="00D626EA"/>
    <w:rsid w:val="00D6546F"/>
    <w:rsid w:val="00D65E72"/>
    <w:rsid w:val="00D67714"/>
    <w:rsid w:val="00D71963"/>
    <w:rsid w:val="00D71B8E"/>
    <w:rsid w:val="00D72438"/>
    <w:rsid w:val="00D7287F"/>
    <w:rsid w:val="00D73109"/>
    <w:rsid w:val="00D74CAF"/>
    <w:rsid w:val="00D764FE"/>
    <w:rsid w:val="00D76ECD"/>
    <w:rsid w:val="00D7715E"/>
    <w:rsid w:val="00D85DE6"/>
    <w:rsid w:val="00D86801"/>
    <w:rsid w:val="00D958C3"/>
    <w:rsid w:val="00DA04A5"/>
    <w:rsid w:val="00DA0ED8"/>
    <w:rsid w:val="00DA1941"/>
    <w:rsid w:val="00DA3100"/>
    <w:rsid w:val="00DA4B8E"/>
    <w:rsid w:val="00DA5077"/>
    <w:rsid w:val="00DA563F"/>
    <w:rsid w:val="00DB248D"/>
    <w:rsid w:val="00DB5DF7"/>
    <w:rsid w:val="00DB6595"/>
    <w:rsid w:val="00DB68BC"/>
    <w:rsid w:val="00DC19A2"/>
    <w:rsid w:val="00DC4882"/>
    <w:rsid w:val="00DD07DE"/>
    <w:rsid w:val="00DD1C02"/>
    <w:rsid w:val="00DD2A8E"/>
    <w:rsid w:val="00DE4157"/>
    <w:rsid w:val="00DE478C"/>
    <w:rsid w:val="00DE5BAC"/>
    <w:rsid w:val="00DF7D7B"/>
    <w:rsid w:val="00E010EA"/>
    <w:rsid w:val="00E02384"/>
    <w:rsid w:val="00E02403"/>
    <w:rsid w:val="00E028E7"/>
    <w:rsid w:val="00E03C29"/>
    <w:rsid w:val="00E04220"/>
    <w:rsid w:val="00E051AD"/>
    <w:rsid w:val="00E1584E"/>
    <w:rsid w:val="00E24274"/>
    <w:rsid w:val="00E31B46"/>
    <w:rsid w:val="00E33169"/>
    <w:rsid w:val="00E334F7"/>
    <w:rsid w:val="00E343E1"/>
    <w:rsid w:val="00E41A7B"/>
    <w:rsid w:val="00E42635"/>
    <w:rsid w:val="00E43481"/>
    <w:rsid w:val="00E45A22"/>
    <w:rsid w:val="00E46DDC"/>
    <w:rsid w:val="00E477B5"/>
    <w:rsid w:val="00E50DAE"/>
    <w:rsid w:val="00E522E5"/>
    <w:rsid w:val="00E52ED8"/>
    <w:rsid w:val="00E53F72"/>
    <w:rsid w:val="00E54C08"/>
    <w:rsid w:val="00E5732B"/>
    <w:rsid w:val="00E61766"/>
    <w:rsid w:val="00E62AE4"/>
    <w:rsid w:val="00E6598D"/>
    <w:rsid w:val="00E66BFC"/>
    <w:rsid w:val="00E726EA"/>
    <w:rsid w:val="00E76D23"/>
    <w:rsid w:val="00E82409"/>
    <w:rsid w:val="00E82F99"/>
    <w:rsid w:val="00E834B2"/>
    <w:rsid w:val="00E87165"/>
    <w:rsid w:val="00E871EE"/>
    <w:rsid w:val="00E87EF3"/>
    <w:rsid w:val="00E917C3"/>
    <w:rsid w:val="00E91D22"/>
    <w:rsid w:val="00E92401"/>
    <w:rsid w:val="00E9621B"/>
    <w:rsid w:val="00E9762A"/>
    <w:rsid w:val="00EA05FE"/>
    <w:rsid w:val="00EA07CE"/>
    <w:rsid w:val="00EA21D6"/>
    <w:rsid w:val="00EA7F5E"/>
    <w:rsid w:val="00EB0B60"/>
    <w:rsid w:val="00EB0F3D"/>
    <w:rsid w:val="00EB1A97"/>
    <w:rsid w:val="00EB3B01"/>
    <w:rsid w:val="00EB4C75"/>
    <w:rsid w:val="00EB56D7"/>
    <w:rsid w:val="00EC3F6A"/>
    <w:rsid w:val="00EC59C7"/>
    <w:rsid w:val="00EC68A8"/>
    <w:rsid w:val="00EC78F1"/>
    <w:rsid w:val="00ED0B91"/>
    <w:rsid w:val="00ED17A0"/>
    <w:rsid w:val="00ED71E9"/>
    <w:rsid w:val="00ED7232"/>
    <w:rsid w:val="00EE1AB5"/>
    <w:rsid w:val="00EE7CE6"/>
    <w:rsid w:val="00EF2526"/>
    <w:rsid w:val="00EF2EC9"/>
    <w:rsid w:val="00EF6C14"/>
    <w:rsid w:val="00F04407"/>
    <w:rsid w:val="00F04D3E"/>
    <w:rsid w:val="00F04F66"/>
    <w:rsid w:val="00F06633"/>
    <w:rsid w:val="00F07447"/>
    <w:rsid w:val="00F103B8"/>
    <w:rsid w:val="00F10563"/>
    <w:rsid w:val="00F108AB"/>
    <w:rsid w:val="00F118EF"/>
    <w:rsid w:val="00F12E39"/>
    <w:rsid w:val="00F13A18"/>
    <w:rsid w:val="00F15BF5"/>
    <w:rsid w:val="00F208F1"/>
    <w:rsid w:val="00F21176"/>
    <w:rsid w:val="00F21595"/>
    <w:rsid w:val="00F243D7"/>
    <w:rsid w:val="00F25B51"/>
    <w:rsid w:val="00F25F88"/>
    <w:rsid w:val="00F30B99"/>
    <w:rsid w:val="00F319EB"/>
    <w:rsid w:val="00F3589C"/>
    <w:rsid w:val="00F441C5"/>
    <w:rsid w:val="00F613DC"/>
    <w:rsid w:val="00F62CD6"/>
    <w:rsid w:val="00F63FAE"/>
    <w:rsid w:val="00F66CEC"/>
    <w:rsid w:val="00F6728A"/>
    <w:rsid w:val="00F67C8C"/>
    <w:rsid w:val="00F73770"/>
    <w:rsid w:val="00F75D49"/>
    <w:rsid w:val="00F8088C"/>
    <w:rsid w:val="00F8129B"/>
    <w:rsid w:val="00F81864"/>
    <w:rsid w:val="00F851ED"/>
    <w:rsid w:val="00F904DC"/>
    <w:rsid w:val="00F92851"/>
    <w:rsid w:val="00F94377"/>
    <w:rsid w:val="00F95C14"/>
    <w:rsid w:val="00F972E8"/>
    <w:rsid w:val="00F97AFB"/>
    <w:rsid w:val="00FA0BF5"/>
    <w:rsid w:val="00FA0CFE"/>
    <w:rsid w:val="00FA36FC"/>
    <w:rsid w:val="00FB1DF9"/>
    <w:rsid w:val="00FB49F9"/>
    <w:rsid w:val="00FB6213"/>
    <w:rsid w:val="00FC097E"/>
    <w:rsid w:val="00FC3BE4"/>
    <w:rsid w:val="00FC5FCD"/>
    <w:rsid w:val="00FD139E"/>
    <w:rsid w:val="00FD4DC4"/>
    <w:rsid w:val="00FD5232"/>
    <w:rsid w:val="00FE1F15"/>
    <w:rsid w:val="00FE26FE"/>
    <w:rsid w:val="00FE6668"/>
    <w:rsid w:val="00FF1F97"/>
    <w:rsid w:val="00FF494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69B82"/>
  <w15:chartTrackingRefBased/>
  <w15:docId w15:val="{DC25E30A-1312-4D97-981E-CE7931E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F7"/>
    <w:rPr>
      <w:sz w:val="24"/>
      <w:szCs w:val="24"/>
      <w:lang w:val="en-US" w:eastAsia="en-US"/>
    </w:rPr>
  </w:style>
  <w:style w:type="paragraph" w:styleId="Heading1">
    <w:name w:val="heading 1"/>
    <w:basedOn w:val="Normal"/>
    <w:next w:val="Normal"/>
    <w:link w:val="Heading1Char"/>
    <w:qFormat/>
    <w:rsid w:val="00E62AE4"/>
    <w:pPr>
      <w:keepNext/>
      <w:widowControl w:val="0"/>
      <w:spacing w:before="240" w:after="60"/>
      <w:outlineLvl w:val="0"/>
    </w:pPr>
    <w:rPr>
      <w:rFonts w:ascii="Arial" w:hAnsi="Arial"/>
      <w:b/>
      <w:kern w:val="28"/>
      <w:sz w:val="2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5EF7"/>
    <w:rPr>
      <w:rFonts w:ascii="Tahoma" w:hAnsi="Tahoma" w:cs="Tahoma"/>
      <w:sz w:val="16"/>
      <w:szCs w:val="16"/>
    </w:rPr>
  </w:style>
  <w:style w:type="paragraph" w:styleId="Header">
    <w:name w:val="header"/>
    <w:basedOn w:val="Normal"/>
    <w:link w:val="HeaderChar"/>
    <w:uiPriority w:val="99"/>
    <w:rsid w:val="004C7777"/>
    <w:pPr>
      <w:tabs>
        <w:tab w:val="center" w:pos="4320"/>
        <w:tab w:val="right" w:pos="8640"/>
      </w:tabs>
    </w:pPr>
  </w:style>
  <w:style w:type="character" w:styleId="PageNumber">
    <w:name w:val="page number"/>
    <w:basedOn w:val="DefaultParagraphFont"/>
    <w:rsid w:val="004C7777"/>
  </w:style>
  <w:style w:type="character" w:customStyle="1" w:styleId="Heading1Char">
    <w:name w:val="Heading 1 Char"/>
    <w:link w:val="Heading1"/>
    <w:rsid w:val="00E62AE4"/>
    <w:rPr>
      <w:rFonts w:ascii="Arial" w:hAnsi="Arial"/>
      <w:b/>
      <w:kern w:val="28"/>
      <w:sz w:val="28"/>
      <w:lang w:val="el-GR"/>
    </w:rPr>
  </w:style>
  <w:style w:type="paragraph" w:styleId="Title">
    <w:name w:val="Title"/>
    <w:basedOn w:val="Normal"/>
    <w:link w:val="TitleChar"/>
    <w:qFormat/>
    <w:rsid w:val="00E62AE4"/>
    <w:pPr>
      <w:widowControl w:val="0"/>
      <w:jc w:val="center"/>
    </w:pPr>
    <w:rPr>
      <w:rFonts w:ascii="Arial" w:hAnsi="Arial" w:cs="Arial"/>
      <w:b/>
      <w:bCs/>
      <w:sz w:val="22"/>
      <w:szCs w:val="20"/>
      <w:u w:val="single"/>
      <w:lang w:val="el-GR"/>
    </w:rPr>
  </w:style>
  <w:style w:type="character" w:customStyle="1" w:styleId="TitleChar">
    <w:name w:val="Title Char"/>
    <w:link w:val="Title"/>
    <w:rsid w:val="00E62AE4"/>
    <w:rPr>
      <w:rFonts w:ascii="Arial" w:hAnsi="Arial" w:cs="Arial"/>
      <w:b/>
      <w:bCs/>
      <w:sz w:val="22"/>
      <w:u w:val="single"/>
      <w:lang w:val="el-GR"/>
    </w:rPr>
  </w:style>
  <w:style w:type="paragraph" w:styleId="Subtitle">
    <w:name w:val="Subtitle"/>
    <w:basedOn w:val="Normal"/>
    <w:link w:val="SubtitleChar"/>
    <w:qFormat/>
    <w:rsid w:val="00E62AE4"/>
    <w:pPr>
      <w:widowControl w:val="0"/>
      <w:tabs>
        <w:tab w:val="center" w:pos="4680"/>
      </w:tabs>
      <w:jc w:val="center"/>
    </w:pPr>
    <w:rPr>
      <w:rFonts w:ascii="Arial" w:hAnsi="Arial" w:cs="Arial"/>
      <w:b/>
      <w:sz w:val="20"/>
      <w:szCs w:val="20"/>
      <w:u w:val="single"/>
      <w:lang w:val="el-GR"/>
    </w:rPr>
  </w:style>
  <w:style w:type="character" w:customStyle="1" w:styleId="SubtitleChar">
    <w:name w:val="Subtitle Char"/>
    <w:link w:val="Subtitle"/>
    <w:rsid w:val="00E62AE4"/>
    <w:rPr>
      <w:rFonts w:ascii="Arial" w:hAnsi="Arial" w:cs="Arial"/>
      <w:b/>
      <w:u w:val="single"/>
      <w:lang w:val="el-GR"/>
    </w:rPr>
  </w:style>
  <w:style w:type="paragraph" w:styleId="Footer">
    <w:name w:val="footer"/>
    <w:basedOn w:val="Normal"/>
    <w:link w:val="FooterChar"/>
    <w:rsid w:val="0007125E"/>
    <w:pPr>
      <w:tabs>
        <w:tab w:val="center" w:pos="4680"/>
        <w:tab w:val="right" w:pos="9360"/>
      </w:tabs>
    </w:pPr>
  </w:style>
  <w:style w:type="character" w:customStyle="1" w:styleId="FooterChar">
    <w:name w:val="Footer Char"/>
    <w:link w:val="Footer"/>
    <w:rsid w:val="0007125E"/>
    <w:rPr>
      <w:sz w:val="24"/>
      <w:szCs w:val="24"/>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qFormat/>
    <w:rsid w:val="00B556A0"/>
    <w:pPr>
      <w:ind w:left="720"/>
      <w:contextualSpacing/>
    </w:pPr>
  </w:style>
  <w:style w:type="paragraph" w:styleId="BodyText2">
    <w:name w:val="Body Text 2"/>
    <w:basedOn w:val="Normal"/>
    <w:link w:val="BodyText2Char"/>
    <w:rsid w:val="00777E43"/>
    <w:pPr>
      <w:spacing w:before="120" w:after="120"/>
    </w:pPr>
    <w:rPr>
      <w:rFonts w:ascii="Arial" w:hAnsi="Arial"/>
      <w:color w:val="0000FF"/>
      <w:szCs w:val="18"/>
      <w:lang w:val="el-GR"/>
    </w:rPr>
  </w:style>
  <w:style w:type="character" w:customStyle="1" w:styleId="BodyText2Char">
    <w:name w:val="Body Text 2 Char"/>
    <w:link w:val="BodyText2"/>
    <w:rsid w:val="00777E43"/>
    <w:rPr>
      <w:rFonts w:ascii="Arial" w:hAnsi="Arial"/>
      <w:color w:val="0000FF"/>
      <w:sz w:val="24"/>
      <w:szCs w:val="18"/>
      <w:lang w:val="el-GR"/>
    </w:rPr>
  </w:style>
  <w:style w:type="paragraph" w:styleId="BodyTextIndent2">
    <w:name w:val="Body Text Indent 2"/>
    <w:basedOn w:val="Normal"/>
    <w:link w:val="BodyTextIndent2Char"/>
    <w:rsid w:val="00560D46"/>
    <w:pPr>
      <w:spacing w:after="120" w:line="480" w:lineRule="auto"/>
      <w:ind w:left="283"/>
    </w:pPr>
  </w:style>
  <w:style w:type="character" w:customStyle="1" w:styleId="BodyTextIndent2Char">
    <w:name w:val="Body Text Indent 2 Char"/>
    <w:link w:val="BodyTextIndent2"/>
    <w:rsid w:val="00560D46"/>
    <w:rPr>
      <w:sz w:val="24"/>
      <w:szCs w:val="24"/>
    </w:rPr>
  </w:style>
  <w:style w:type="paragraph" w:styleId="Caption">
    <w:name w:val="caption"/>
    <w:basedOn w:val="Normal"/>
    <w:next w:val="Normal"/>
    <w:qFormat/>
    <w:rsid w:val="00560D46"/>
    <w:pPr>
      <w:spacing w:before="120"/>
      <w:ind w:left="748" w:hanging="748"/>
      <w:jc w:val="center"/>
    </w:pPr>
    <w:rPr>
      <w:rFonts w:ascii="Comic Sans MS" w:hAnsi="Comic Sans MS" w:cs="Arial"/>
      <w:b/>
      <w:bCs/>
      <w:lang w:val="el-GR"/>
    </w:rPr>
  </w:style>
  <w:style w:type="character" w:customStyle="1" w:styleId="HeaderChar">
    <w:name w:val="Header Char"/>
    <w:link w:val="Header"/>
    <w:uiPriority w:val="99"/>
    <w:rsid w:val="00F21595"/>
    <w:rPr>
      <w:sz w:val="24"/>
      <w:szCs w:val="24"/>
    </w:rPr>
  </w:style>
  <w:style w:type="character" w:customStyle="1" w:styleId="fontstyle01">
    <w:name w:val="fontstyle01"/>
    <w:rsid w:val="001A6BC4"/>
    <w:rPr>
      <w:rFonts w:ascii="MyriadPro-Regular" w:hAnsi="MyriadPro-Regular" w:hint="default"/>
      <w:b w:val="0"/>
      <w:bCs w:val="0"/>
      <w:i w:val="0"/>
      <w:iCs w:val="0"/>
      <w:color w:val="242021"/>
      <w:sz w:val="20"/>
      <w:szCs w:val="20"/>
    </w:rPr>
  </w:style>
  <w:style w:type="character" w:styleId="Strong">
    <w:name w:val="Strong"/>
    <w:uiPriority w:val="22"/>
    <w:qFormat/>
    <w:rsid w:val="001645C7"/>
    <w:rPr>
      <w:b/>
      <w:bCs/>
    </w:rPr>
  </w:style>
  <w:style w:type="paragraph" w:styleId="Revision">
    <w:name w:val="Revision"/>
    <w:hidden/>
    <w:uiPriority w:val="99"/>
    <w:semiHidden/>
    <w:rsid w:val="007C1B70"/>
    <w:rPr>
      <w:sz w:val="24"/>
      <w:szCs w:val="24"/>
      <w:lang w:val="en-US" w:eastAsia="en-US"/>
    </w:rPr>
  </w:style>
  <w:style w:type="character" w:styleId="CommentReference">
    <w:name w:val="annotation reference"/>
    <w:rsid w:val="006B7558"/>
    <w:rPr>
      <w:sz w:val="16"/>
      <w:szCs w:val="16"/>
    </w:rPr>
  </w:style>
  <w:style w:type="paragraph" w:styleId="CommentText">
    <w:name w:val="annotation text"/>
    <w:basedOn w:val="Normal"/>
    <w:link w:val="CommentTextChar"/>
    <w:rsid w:val="006B7558"/>
    <w:rPr>
      <w:sz w:val="20"/>
      <w:szCs w:val="20"/>
    </w:rPr>
  </w:style>
  <w:style w:type="character" w:customStyle="1" w:styleId="CommentTextChar">
    <w:name w:val="Comment Text Char"/>
    <w:link w:val="CommentText"/>
    <w:rsid w:val="006B7558"/>
    <w:rPr>
      <w:lang w:val="en-US" w:eastAsia="en-US"/>
    </w:rPr>
  </w:style>
  <w:style w:type="paragraph" w:styleId="CommentSubject">
    <w:name w:val="annotation subject"/>
    <w:basedOn w:val="CommentText"/>
    <w:next w:val="CommentText"/>
    <w:link w:val="CommentSubjectChar"/>
    <w:rsid w:val="006B7558"/>
    <w:rPr>
      <w:b/>
      <w:bCs/>
    </w:rPr>
  </w:style>
  <w:style w:type="character" w:customStyle="1" w:styleId="CommentSubjectChar">
    <w:name w:val="Comment Subject Char"/>
    <w:link w:val="CommentSubject"/>
    <w:rsid w:val="006B7558"/>
    <w:rPr>
      <w:b/>
      <w:bCs/>
      <w:lang w:val="en-US" w:eastAsia="en-US"/>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link w:val="ListParagraph"/>
    <w:uiPriority w:val="34"/>
    <w:qFormat/>
    <w:locked/>
    <w:rsid w:val="006B75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567">
      <w:bodyDiv w:val="1"/>
      <w:marLeft w:val="0"/>
      <w:marRight w:val="0"/>
      <w:marTop w:val="0"/>
      <w:marBottom w:val="0"/>
      <w:divBdr>
        <w:top w:val="none" w:sz="0" w:space="0" w:color="auto"/>
        <w:left w:val="none" w:sz="0" w:space="0" w:color="auto"/>
        <w:bottom w:val="none" w:sz="0" w:space="0" w:color="auto"/>
        <w:right w:val="none" w:sz="0" w:space="0" w:color="auto"/>
      </w:divBdr>
    </w:div>
    <w:div w:id="253435987">
      <w:bodyDiv w:val="1"/>
      <w:marLeft w:val="0"/>
      <w:marRight w:val="0"/>
      <w:marTop w:val="0"/>
      <w:marBottom w:val="0"/>
      <w:divBdr>
        <w:top w:val="none" w:sz="0" w:space="0" w:color="auto"/>
        <w:left w:val="none" w:sz="0" w:space="0" w:color="auto"/>
        <w:bottom w:val="none" w:sz="0" w:space="0" w:color="auto"/>
        <w:right w:val="none" w:sz="0" w:space="0" w:color="auto"/>
      </w:divBdr>
    </w:div>
    <w:div w:id="372654147">
      <w:bodyDiv w:val="1"/>
      <w:marLeft w:val="0"/>
      <w:marRight w:val="0"/>
      <w:marTop w:val="0"/>
      <w:marBottom w:val="0"/>
      <w:divBdr>
        <w:top w:val="none" w:sz="0" w:space="0" w:color="auto"/>
        <w:left w:val="none" w:sz="0" w:space="0" w:color="auto"/>
        <w:bottom w:val="none" w:sz="0" w:space="0" w:color="auto"/>
        <w:right w:val="none" w:sz="0" w:space="0" w:color="auto"/>
      </w:divBdr>
    </w:div>
    <w:div w:id="508562258">
      <w:bodyDiv w:val="1"/>
      <w:marLeft w:val="0"/>
      <w:marRight w:val="0"/>
      <w:marTop w:val="0"/>
      <w:marBottom w:val="0"/>
      <w:divBdr>
        <w:top w:val="none" w:sz="0" w:space="0" w:color="auto"/>
        <w:left w:val="none" w:sz="0" w:space="0" w:color="auto"/>
        <w:bottom w:val="none" w:sz="0" w:space="0" w:color="auto"/>
        <w:right w:val="none" w:sz="0" w:space="0" w:color="auto"/>
      </w:divBdr>
    </w:div>
    <w:div w:id="904070071">
      <w:bodyDiv w:val="1"/>
      <w:marLeft w:val="0"/>
      <w:marRight w:val="0"/>
      <w:marTop w:val="0"/>
      <w:marBottom w:val="0"/>
      <w:divBdr>
        <w:top w:val="none" w:sz="0" w:space="0" w:color="auto"/>
        <w:left w:val="none" w:sz="0" w:space="0" w:color="auto"/>
        <w:bottom w:val="none" w:sz="0" w:space="0" w:color="auto"/>
        <w:right w:val="none" w:sz="0" w:space="0" w:color="auto"/>
      </w:divBdr>
    </w:div>
    <w:div w:id="1267814255">
      <w:bodyDiv w:val="1"/>
      <w:marLeft w:val="0"/>
      <w:marRight w:val="0"/>
      <w:marTop w:val="0"/>
      <w:marBottom w:val="0"/>
      <w:divBdr>
        <w:top w:val="none" w:sz="0" w:space="0" w:color="auto"/>
        <w:left w:val="none" w:sz="0" w:space="0" w:color="auto"/>
        <w:bottom w:val="none" w:sz="0" w:space="0" w:color="auto"/>
        <w:right w:val="none" w:sz="0" w:space="0" w:color="auto"/>
      </w:divBdr>
      <w:divsChild>
        <w:div w:id="16777773">
          <w:marLeft w:val="0"/>
          <w:marRight w:val="0"/>
          <w:marTop w:val="0"/>
          <w:marBottom w:val="0"/>
          <w:divBdr>
            <w:top w:val="none" w:sz="0" w:space="0" w:color="auto"/>
            <w:left w:val="none" w:sz="0" w:space="0" w:color="auto"/>
            <w:bottom w:val="none" w:sz="0" w:space="0" w:color="auto"/>
            <w:right w:val="none" w:sz="0" w:space="0" w:color="auto"/>
          </w:divBdr>
        </w:div>
        <w:div w:id="81335884">
          <w:marLeft w:val="0"/>
          <w:marRight w:val="0"/>
          <w:marTop w:val="0"/>
          <w:marBottom w:val="0"/>
          <w:divBdr>
            <w:top w:val="none" w:sz="0" w:space="0" w:color="auto"/>
            <w:left w:val="none" w:sz="0" w:space="0" w:color="auto"/>
            <w:bottom w:val="none" w:sz="0" w:space="0" w:color="auto"/>
            <w:right w:val="none" w:sz="0" w:space="0" w:color="auto"/>
          </w:divBdr>
        </w:div>
        <w:div w:id="95102041">
          <w:marLeft w:val="0"/>
          <w:marRight w:val="0"/>
          <w:marTop w:val="0"/>
          <w:marBottom w:val="0"/>
          <w:divBdr>
            <w:top w:val="none" w:sz="0" w:space="0" w:color="auto"/>
            <w:left w:val="none" w:sz="0" w:space="0" w:color="auto"/>
            <w:bottom w:val="none" w:sz="0" w:space="0" w:color="auto"/>
            <w:right w:val="none" w:sz="0" w:space="0" w:color="auto"/>
          </w:divBdr>
        </w:div>
        <w:div w:id="107480260">
          <w:marLeft w:val="0"/>
          <w:marRight w:val="0"/>
          <w:marTop w:val="0"/>
          <w:marBottom w:val="0"/>
          <w:divBdr>
            <w:top w:val="none" w:sz="0" w:space="0" w:color="auto"/>
            <w:left w:val="none" w:sz="0" w:space="0" w:color="auto"/>
            <w:bottom w:val="none" w:sz="0" w:space="0" w:color="auto"/>
            <w:right w:val="none" w:sz="0" w:space="0" w:color="auto"/>
          </w:divBdr>
        </w:div>
        <w:div w:id="122358279">
          <w:marLeft w:val="0"/>
          <w:marRight w:val="0"/>
          <w:marTop w:val="0"/>
          <w:marBottom w:val="0"/>
          <w:divBdr>
            <w:top w:val="none" w:sz="0" w:space="0" w:color="auto"/>
            <w:left w:val="none" w:sz="0" w:space="0" w:color="auto"/>
            <w:bottom w:val="none" w:sz="0" w:space="0" w:color="auto"/>
            <w:right w:val="none" w:sz="0" w:space="0" w:color="auto"/>
          </w:divBdr>
        </w:div>
        <w:div w:id="384454763">
          <w:marLeft w:val="0"/>
          <w:marRight w:val="0"/>
          <w:marTop w:val="0"/>
          <w:marBottom w:val="0"/>
          <w:divBdr>
            <w:top w:val="none" w:sz="0" w:space="0" w:color="auto"/>
            <w:left w:val="none" w:sz="0" w:space="0" w:color="auto"/>
            <w:bottom w:val="none" w:sz="0" w:space="0" w:color="auto"/>
            <w:right w:val="none" w:sz="0" w:space="0" w:color="auto"/>
          </w:divBdr>
        </w:div>
        <w:div w:id="402458936">
          <w:marLeft w:val="0"/>
          <w:marRight w:val="0"/>
          <w:marTop w:val="0"/>
          <w:marBottom w:val="0"/>
          <w:divBdr>
            <w:top w:val="none" w:sz="0" w:space="0" w:color="auto"/>
            <w:left w:val="none" w:sz="0" w:space="0" w:color="auto"/>
            <w:bottom w:val="none" w:sz="0" w:space="0" w:color="auto"/>
            <w:right w:val="none" w:sz="0" w:space="0" w:color="auto"/>
          </w:divBdr>
        </w:div>
        <w:div w:id="447314175">
          <w:marLeft w:val="0"/>
          <w:marRight w:val="0"/>
          <w:marTop w:val="0"/>
          <w:marBottom w:val="0"/>
          <w:divBdr>
            <w:top w:val="none" w:sz="0" w:space="0" w:color="auto"/>
            <w:left w:val="none" w:sz="0" w:space="0" w:color="auto"/>
            <w:bottom w:val="none" w:sz="0" w:space="0" w:color="auto"/>
            <w:right w:val="none" w:sz="0" w:space="0" w:color="auto"/>
          </w:divBdr>
        </w:div>
        <w:div w:id="469178423">
          <w:marLeft w:val="0"/>
          <w:marRight w:val="0"/>
          <w:marTop w:val="0"/>
          <w:marBottom w:val="0"/>
          <w:divBdr>
            <w:top w:val="none" w:sz="0" w:space="0" w:color="auto"/>
            <w:left w:val="none" w:sz="0" w:space="0" w:color="auto"/>
            <w:bottom w:val="none" w:sz="0" w:space="0" w:color="auto"/>
            <w:right w:val="none" w:sz="0" w:space="0" w:color="auto"/>
          </w:divBdr>
        </w:div>
        <w:div w:id="483206994">
          <w:marLeft w:val="0"/>
          <w:marRight w:val="0"/>
          <w:marTop w:val="0"/>
          <w:marBottom w:val="0"/>
          <w:divBdr>
            <w:top w:val="none" w:sz="0" w:space="0" w:color="auto"/>
            <w:left w:val="none" w:sz="0" w:space="0" w:color="auto"/>
            <w:bottom w:val="none" w:sz="0" w:space="0" w:color="auto"/>
            <w:right w:val="none" w:sz="0" w:space="0" w:color="auto"/>
          </w:divBdr>
        </w:div>
        <w:div w:id="494956373">
          <w:marLeft w:val="0"/>
          <w:marRight w:val="0"/>
          <w:marTop w:val="0"/>
          <w:marBottom w:val="0"/>
          <w:divBdr>
            <w:top w:val="none" w:sz="0" w:space="0" w:color="auto"/>
            <w:left w:val="none" w:sz="0" w:space="0" w:color="auto"/>
            <w:bottom w:val="none" w:sz="0" w:space="0" w:color="auto"/>
            <w:right w:val="none" w:sz="0" w:space="0" w:color="auto"/>
          </w:divBdr>
        </w:div>
        <w:div w:id="523057446">
          <w:marLeft w:val="0"/>
          <w:marRight w:val="0"/>
          <w:marTop w:val="0"/>
          <w:marBottom w:val="0"/>
          <w:divBdr>
            <w:top w:val="none" w:sz="0" w:space="0" w:color="auto"/>
            <w:left w:val="none" w:sz="0" w:space="0" w:color="auto"/>
            <w:bottom w:val="none" w:sz="0" w:space="0" w:color="auto"/>
            <w:right w:val="none" w:sz="0" w:space="0" w:color="auto"/>
          </w:divBdr>
        </w:div>
        <w:div w:id="524445157">
          <w:marLeft w:val="0"/>
          <w:marRight w:val="0"/>
          <w:marTop w:val="0"/>
          <w:marBottom w:val="0"/>
          <w:divBdr>
            <w:top w:val="none" w:sz="0" w:space="0" w:color="auto"/>
            <w:left w:val="none" w:sz="0" w:space="0" w:color="auto"/>
            <w:bottom w:val="none" w:sz="0" w:space="0" w:color="auto"/>
            <w:right w:val="none" w:sz="0" w:space="0" w:color="auto"/>
          </w:divBdr>
        </w:div>
        <w:div w:id="531192800">
          <w:marLeft w:val="0"/>
          <w:marRight w:val="0"/>
          <w:marTop w:val="0"/>
          <w:marBottom w:val="0"/>
          <w:divBdr>
            <w:top w:val="none" w:sz="0" w:space="0" w:color="auto"/>
            <w:left w:val="none" w:sz="0" w:space="0" w:color="auto"/>
            <w:bottom w:val="none" w:sz="0" w:space="0" w:color="auto"/>
            <w:right w:val="none" w:sz="0" w:space="0" w:color="auto"/>
          </w:divBdr>
        </w:div>
        <w:div w:id="547256379">
          <w:marLeft w:val="0"/>
          <w:marRight w:val="0"/>
          <w:marTop w:val="0"/>
          <w:marBottom w:val="0"/>
          <w:divBdr>
            <w:top w:val="none" w:sz="0" w:space="0" w:color="auto"/>
            <w:left w:val="none" w:sz="0" w:space="0" w:color="auto"/>
            <w:bottom w:val="none" w:sz="0" w:space="0" w:color="auto"/>
            <w:right w:val="none" w:sz="0" w:space="0" w:color="auto"/>
          </w:divBdr>
        </w:div>
        <w:div w:id="555438017">
          <w:marLeft w:val="0"/>
          <w:marRight w:val="0"/>
          <w:marTop w:val="0"/>
          <w:marBottom w:val="0"/>
          <w:divBdr>
            <w:top w:val="none" w:sz="0" w:space="0" w:color="auto"/>
            <w:left w:val="none" w:sz="0" w:space="0" w:color="auto"/>
            <w:bottom w:val="none" w:sz="0" w:space="0" w:color="auto"/>
            <w:right w:val="none" w:sz="0" w:space="0" w:color="auto"/>
          </w:divBdr>
        </w:div>
        <w:div w:id="564880993">
          <w:marLeft w:val="0"/>
          <w:marRight w:val="0"/>
          <w:marTop w:val="0"/>
          <w:marBottom w:val="0"/>
          <w:divBdr>
            <w:top w:val="none" w:sz="0" w:space="0" w:color="auto"/>
            <w:left w:val="none" w:sz="0" w:space="0" w:color="auto"/>
            <w:bottom w:val="none" w:sz="0" w:space="0" w:color="auto"/>
            <w:right w:val="none" w:sz="0" w:space="0" w:color="auto"/>
          </w:divBdr>
        </w:div>
        <w:div w:id="606929516">
          <w:marLeft w:val="0"/>
          <w:marRight w:val="0"/>
          <w:marTop w:val="0"/>
          <w:marBottom w:val="0"/>
          <w:divBdr>
            <w:top w:val="none" w:sz="0" w:space="0" w:color="auto"/>
            <w:left w:val="none" w:sz="0" w:space="0" w:color="auto"/>
            <w:bottom w:val="none" w:sz="0" w:space="0" w:color="auto"/>
            <w:right w:val="none" w:sz="0" w:space="0" w:color="auto"/>
          </w:divBdr>
        </w:div>
        <w:div w:id="687608291">
          <w:marLeft w:val="0"/>
          <w:marRight w:val="0"/>
          <w:marTop w:val="0"/>
          <w:marBottom w:val="0"/>
          <w:divBdr>
            <w:top w:val="none" w:sz="0" w:space="0" w:color="auto"/>
            <w:left w:val="none" w:sz="0" w:space="0" w:color="auto"/>
            <w:bottom w:val="none" w:sz="0" w:space="0" w:color="auto"/>
            <w:right w:val="none" w:sz="0" w:space="0" w:color="auto"/>
          </w:divBdr>
        </w:div>
        <w:div w:id="689338794">
          <w:marLeft w:val="0"/>
          <w:marRight w:val="0"/>
          <w:marTop w:val="0"/>
          <w:marBottom w:val="0"/>
          <w:divBdr>
            <w:top w:val="none" w:sz="0" w:space="0" w:color="auto"/>
            <w:left w:val="none" w:sz="0" w:space="0" w:color="auto"/>
            <w:bottom w:val="none" w:sz="0" w:space="0" w:color="auto"/>
            <w:right w:val="none" w:sz="0" w:space="0" w:color="auto"/>
          </w:divBdr>
        </w:div>
        <w:div w:id="706568811">
          <w:marLeft w:val="0"/>
          <w:marRight w:val="0"/>
          <w:marTop w:val="0"/>
          <w:marBottom w:val="0"/>
          <w:divBdr>
            <w:top w:val="none" w:sz="0" w:space="0" w:color="auto"/>
            <w:left w:val="none" w:sz="0" w:space="0" w:color="auto"/>
            <w:bottom w:val="none" w:sz="0" w:space="0" w:color="auto"/>
            <w:right w:val="none" w:sz="0" w:space="0" w:color="auto"/>
          </w:divBdr>
        </w:div>
        <w:div w:id="730734015">
          <w:marLeft w:val="0"/>
          <w:marRight w:val="0"/>
          <w:marTop w:val="0"/>
          <w:marBottom w:val="0"/>
          <w:divBdr>
            <w:top w:val="none" w:sz="0" w:space="0" w:color="auto"/>
            <w:left w:val="none" w:sz="0" w:space="0" w:color="auto"/>
            <w:bottom w:val="none" w:sz="0" w:space="0" w:color="auto"/>
            <w:right w:val="none" w:sz="0" w:space="0" w:color="auto"/>
          </w:divBdr>
        </w:div>
        <w:div w:id="835653987">
          <w:marLeft w:val="0"/>
          <w:marRight w:val="0"/>
          <w:marTop w:val="0"/>
          <w:marBottom w:val="0"/>
          <w:divBdr>
            <w:top w:val="none" w:sz="0" w:space="0" w:color="auto"/>
            <w:left w:val="none" w:sz="0" w:space="0" w:color="auto"/>
            <w:bottom w:val="none" w:sz="0" w:space="0" w:color="auto"/>
            <w:right w:val="none" w:sz="0" w:space="0" w:color="auto"/>
          </w:divBdr>
        </w:div>
        <w:div w:id="920722680">
          <w:marLeft w:val="0"/>
          <w:marRight w:val="0"/>
          <w:marTop w:val="0"/>
          <w:marBottom w:val="0"/>
          <w:divBdr>
            <w:top w:val="none" w:sz="0" w:space="0" w:color="auto"/>
            <w:left w:val="none" w:sz="0" w:space="0" w:color="auto"/>
            <w:bottom w:val="none" w:sz="0" w:space="0" w:color="auto"/>
            <w:right w:val="none" w:sz="0" w:space="0" w:color="auto"/>
          </w:divBdr>
        </w:div>
        <w:div w:id="920985695">
          <w:marLeft w:val="0"/>
          <w:marRight w:val="0"/>
          <w:marTop w:val="0"/>
          <w:marBottom w:val="0"/>
          <w:divBdr>
            <w:top w:val="none" w:sz="0" w:space="0" w:color="auto"/>
            <w:left w:val="none" w:sz="0" w:space="0" w:color="auto"/>
            <w:bottom w:val="none" w:sz="0" w:space="0" w:color="auto"/>
            <w:right w:val="none" w:sz="0" w:space="0" w:color="auto"/>
          </w:divBdr>
        </w:div>
        <w:div w:id="933705780">
          <w:marLeft w:val="0"/>
          <w:marRight w:val="0"/>
          <w:marTop w:val="0"/>
          <w:marBottom w:val="0"/>
          <w:divBdr>
            <w:top w:val="none" w:sz="0" w:space="0" w:color="auto"/>
            <w:left w:val="none" w:sz="0" w:space="0" w:color="auto"/>
            <w:bottom w:val="none" w:sz="0" w:space="0" w:color="auto"/>
            <w:right w:val="none" w:sz="0" w:space="0" w:color="auto"/>
          </w:divBdr>
        </w:div>
        <w:div w:id="934171955">
          <w:marLeft w:val="0"/>
          <w:marRight w:val="0"/>
          <w:marTop w:val="0"/>
          <w:marBottom w:val="0"/>
          <w:divBdr>
            <w:top w:val="none" w:sz="0" w:space="0" w:color="auto"/>
            <w:left w:val="none" w:sz="0" w:space="0" w:color="auto"/>
            <w:bottom w:val="none" w:sz="0" w:space="0" w:color="auto"/>
            <w:right w:val="none" w:sz="0" w:space="0" w:color="auto"/>
          </w:divBdr>
        </w:div>
        <w:div w:id="941575545">
          <w:marLeft w:val="0"/>
          <w:marRight w:val="0"/>
          <w:marTop w:val="0"/>
          <w:marBottom w:val="0"/>
          <w:divBdr>
            <w:top w:val="none" w:sz="0" w:space="0" w:color="auto"/>
            <w:left w:val="none" w:sz="0" w:space="0" w:color="auto"/>
            <w:bottom w:val="none" w:sz="0" w:space="0" w:color="auto"/>
            <w:right w:val="none" w:sz="0" w:space="0" w:color="auto"/>
          </w:divBdr>
        </w:div>
        <w:div w:id="944771845">
          <w:marLeft w:val="0"/>
          <w:marRight w:val="0"/>
          <w:marTop w:val="0"/>
          <w:marBottom w:val="0"/>
          <w:divBdr>
            <w:top w:val="none" w:sz="0" w:space="0" w:color="auto"/>
            <w:left w:val="none" w:sz="0" w:space="0" w:color="auto"/>
            <w:bottom w:val="none" w:sz="0" w:space="0" w:color="auto"/>
            <w:right w:val="none" w:sz="0" w:space="0" w:color="auto"/>
          </w:divBdr>
        </w:div>
        <w:div w:id="973801469">
          <w:marLeft w:val="0"/>
          <w:marRight w:val="0"/>
          <w:marTop w:val="0"/>
          <w:marBottom w:val="0"/>
          <w:divBdr>
            <w:top w:val="none" w:sz="0" w:space="0" w:color="auto"/>
            <w:left w:val="none" w:sz="0" w:space="0" w:color="auto"/>
            <w:bottom w:val="none" w:sz="0" w:space="0" w:color="auto"/>
            <w:right w:val="none" w:sz="0" w:space="0" w:color="auto"/>
          </w:divBdr>
        </w:div>
        <w:div w:id="984356500">
          <w:marLeft w:val="0"/>
          <w:marRight w:val="0"/>
          <w:marTop w:val="0"/>
          <w:marBottom w:val="0"/>
          <w:divBdr>
            <w:top w:val="none" w:sz="0" w:space="0" w:color="auto"/>
            <w:left w:val="none" w:sz="0" w:space="0" w:color="auto"/>
            <w:bottom w:val="none" w:sz="0" w:space="0" w:color="auto"/>
            <w:right w:val="none" w:sz="0" w:space="0" w:color="auto"/>
          </w:divBdr>
        </w:div>
        <w:div w:id="1040594042">
          <w:marLeft w:val="0"/>
          <w:marRight w:val="0"/>
          <w:marTop w:val="0"/>
          <w:marBottom w:val="0"/>
          <w:divBdr>
            <w:top w:val="none" w:sz="0" w:space="0" w:color="auto"/>
            <w:left w:val="none" w:sz="0" w:space="0" w:color="auto"/>
            <w:bottom w:val="none" w:sz="0" w:space="0" w:color="auto"/>
            <w:right w:val="none" w:sz="0" w:space="0" w:color="auto"/>
          </w:divBdr>
        </w:div>
        <w:div w:id="1063717869">
          <w:marLeft w:val="0"/>
          <w:marRight w:val="0"/>
          <w:marTop w:val="0"/>
          <w:marBottom w:val="0"/>
          <w:divBdr>
            <w:top w:val="none" w:sz="0" w:space="0" w:color="auto"/>
            <w:left w:val="none" w:sz="0" w:space="0" w:color="auto"/>
            <w:bottom w:val="none" w:sz="0" w:space="0" w:color="auto"/>
            <w:right w:val="none" w:sz="0" w:space="0" w:color="auto"/>
          </w:divBdr>
        </w:div>
        <w:div w:id="1068042690">
          <w:marLeft w:val="0"/>
          <w:marRight w:val="0"/>
          <w:marTop w:val="0"/>
          <w:marBottom w:val="0"/>
          <w:divBdr>
            <w:top w:val="none" w:sz="0" w:space="0" w:color="auto"/>
            <w:left w:val="none" w:sz="0" w:space="0" w:color="auto"/>
            <w:bottom w:val="none" w:sz="0" w:space="0" w:color="auto"/>
            <w:right w:val="none" w:sz="0" w:space="0" w:color="auto"/>
          </w:divBdr>
        </w:div>
        <w:div w:id="1069764575">
          <w:marLeft w:val="0"/>
          <w:marRight w:val="0"/>
          <w:marTop w:val="0"/>
          <w:marBottom w:val="0"/>
          <w:divBdr>
            <w:top w:val="none" w:sz="0" w:space="0" w:color="auto"/>
            <w:left w:val="none" w:sz="0" w:space="0" w:color="auto"/>
            <w:bottom w:val="none" w:sz="0" w:space="0" w:color="auto"/>
            <w:right w:val="none" w:sz="0" w:space="0" w:color="auto"/>
          </w:divBdr>
        </w:div>
        <w:div w:id="1070619413">
          <w:marLeft w:val="0"/>
          <w:marRight w:val="0"/>
          <w:marTop w:val="0"/>
          <w:marBottom w:val="0"/>
          <w:divBdr>
            <w:top w:val="none" w:sz="0" w:space="0" w:color="auto"/>
            <w:left w:val="none" w:sz="0" w:space="0" w:color="auto"/>
            <w:bottom w:val="none" w:sz="0" w:space="0" w:color="auto"/>
            <w:right w:val="none" w:sz="0" w:space="0" w:color="auto"/>
          </w:divBdr>
        </w:div>
        <w:div w:id="1086340877">
          <w:marLeft w:val="0"/>
          <w:marRight w:val="0"/>
          <w:marTop w:val="0"/>
          <w:marBottom w:val="0"/>
          <w:divBdr>
            <w:top w:val="none" w:sz="0" w:space="0" w:color="auto"/>
            <w:left w:val="none" w:sz="0" w:space="0" w:color="auto"/>
            <w:bottom w:val="none" w:sz="0" w:space="0" w:color="auto"/>
            <w:right w:val="none" w:sz="0" w:space="0" w:color="auto"/>
          </w:divBdr>
        </w:div>
        <w:div w:id="1088308814">
          <w:marLeft w:val="0"/>
          <w:marRight w:val="0"/>
          <w:marTop w:val="0"/>
          <w:marBottom w:val="0"/>
          <w:divBdr>
            <w:top w:val="none" w:sz="0" w:space="0" w:color="auto"/>
            <w:left w:val="none" w:sz="0" w:space="0" w:color="auto"/>
            <w:bottom w:val="none" w:sz="0" w:space="0" w:color="auto"/>
            <w:right w:val="none" w:sz="0" w:space="0" w:color="auto"/>
          </w:divBdr>
        </w:div>
        <w:div w:id="1097944875">
          <w:marLeft w:val="0"/>
          <w:marRight w:val="0"/>
          <w:marTop w:val="0"/>
          <w:marBottom w:val="0"/>
          <w:divBdr>
            <w:top w:val="none" w:sz="0" w:space="0" w:color="auto"/>
            <w:left w:val="none" w:sz="0" w:space="0" w:color="auto"/>
            <w:bottom w:val="none" w:sz="0" w:space="0" w:color="auto"/>
            <w:right w:val="none" w:sz="0" w:space="0" w:color="auto"/>
          </w:divBdr>
        </w:div>
        <w:div w:id="1119957780">
          <w:marLeft w:val="0"/>
          <w:marRight w:val="0"/>
          <w:marTop w:val="0"/>
          <w:marBottom w:val="0"/>
          <w:divBdr>
            <w:top w:val="none" w:sz="0" w:space="0" w:color="auto"/>
            <w:left w:val="none" w:sz="0" w:space="0" w:color="auto"/>
            <w:bottom w:val="none" w:sz="0" w:space="0" w:color="auto"/>
            <w:right w:val="none" w:sz="0" w:space="0" w:color="auto"/>
          </w:divBdr>
        </w:div>
        <w:div w:id="1124813143">
          <w:marLeft w:val="0"/>
          <w:marRight w:val="0"/>
          <w:marTop w:val="0"/>
          <w:marBottom w:val="0"/>
          <w:divBdr>
            <w:top w:val="none" w:sz="0" w:space="0" w:color="auto"/>
            <w:left w:val="none" w:sz="0" w:space="0" w:color="auto"/>
            <w:bottom w:val="none" w:sz="0" w:space="0" w:color="auto"/>
            <w:right w:val="none" w:sz="0" w:space="0" w:color="auto"/>
          </w:divBdr>
        </w:div>
        <w:div w:id="1128358274">
          <w:marLeft w:val="0"/>
          <w:marRight w:val="0"/>
          <w:marTop w:val="0"/>
          <w:marBottom w:val="0"/>
          <w:divBdr>
            <w:top w:val="none" w:sz="0" w:space="0" w:color="auto"/>
            <w:left w:val="none" w:sz="0" w:space="0" w:color="auto"/>
            <w:bottom w:val="none" w:sz="0" w:space="0" w:color="auto"/>
            <w:right w:val="none" w:sz="0" w:space="0" w:color="auto"/>
          </w:divBdr>
        </w:div>
        <w:div w:id="1159809253">
          <w:marLeft w:val="0"/>
          <w:marRight w:val="0"/>
          <w:marTop w:val="0"/>
          <w:marBottom w:val="0"/>
          <w:divBdr>
            <w:top w:val="none" w:sz="0" w:space="0" w:color="auto"/>
            <w:left w:val="none" w:sz="0" w:space="0" w:color="auto"/>
            <w:bottom w:val="none" w:sz="0" w:space="0" w:color="auto"/>
            <w:right w:val="none" w:sz="0" w:space="0" w:color="auto"/>
          </w:divBdr>
        </w:div>
        <w:div w:id="1206059212">
          <w:marLeft w:val="0"/>
          <w:marRight w:val="0"/>
          <w:marTop w:val="0"/>
          <w:marBottom w:val="0"/>
          <w:divBdr>
            <w:top w:val="none" w:sz="0" w:space="0" w:color="auto"/>
            <w:left w:val="none" w:sz="0" w:space="0" w:color="auto"/>
            <w:bottom w:val="none" w:sz="0" w:space="0" w:color="auto"/>
            <w:right w:val="none" w:sz="0" w:space="0" w:color="auto"/>
          </w:divBdr>
        </w:div>
        <w:div w:id="1207181716">
          <w:marLeft w:val="0"/>
          <w:marRight w:val="0"/>
          <w:marTop w:val="0"/>
          <w:marBottom w:val="0"/>
          <w:divBdr>
            <w:top w:val="none" w:sz="0" w:space="0" w:color="auto"/>
            <w:left w:val="none" w:sz="0" w:space="0" w:color="auto"/>
            <w:bottom w:val="none" w:sz="0" w:space="0" w:color="auto"/>
            <w:right w:val="none" w:sz="0" w:space="0" w:color="auto"/>
          </w:divBdr>
        </w:div>
        <w:div w:id="1243103932">
          <w:marLeft w:val="0"/>
          <w:marRight w:val="0"/>
          <w:marTop w:val="0"/>
          <w:marBottom w:val="0"/>
          <w:divBdr>
            <w:top w:val="none" w:sz="0" w:space="0" w:color="auto"/>
            <w:left w:val="none" w:sz="0" w:space="0" w:color="auto"/>
            <w:bottom w:val="none" w:sz="0" w:space="0" w:color="auto"/>
            <w:right w:val="none" w:sz="0" w:space="0" w:color="auto"/>
          </w:divBdr>
        </w:div>
        <w:div w:id="1270236452">
          <w:marLeft w:val="0"/>
          <w:marRight w:val="0"/>
          <w:marTop w:val="0"/>
          <w:marBottom w:val="0"/>
          <w:divBdr>
            <w:top w:val="none" w:sz="0" w:space="0" w:color="auto"/>
            <w:left w:val="none" w:sz="0" w:space="0" w:color="auto"/>
            <w:bottom w:val="none" w:sz="0" w:space="0" w:color="auto"/>
            <w:right w:val="none" w:sz="0" w:space="0" w:color="auto"/>
          </w:divBdr>
        </w:div>
        <w:div w:id="1276860908">
          <w:marLeft w:val="0"/>
          <w:marRight w:val="0"/>
          <w:marTop w:val="0"/>
          <w:marBottom w:val="0"/>
          <w:divBdr>
            <w:top w:val="none" w:sz="0" w:space="0" w:color="auto"/>
            <w:left w:val="none" w:sz="0" w:space="0" w:color="auto"/>
            <w:bottom w:val="none" w:sz="0" w:space="0" w:color="auto"/>
            <w:right w:val="none" w:sz="0" w:space="0" w:color="auto"/>
          </w:divBdr>
        </w:div>
        <w:div w:id="1369065458">
          <w:marLeft w:val="0"/>
          <w:marRight w:val="0"/>
          <w:marTop w:val="0"/>
          <w:marBottom w:val="0"/>
          <w:divBdr>
            <w:top w:val="none" w:sz="0" w:space="0" w:color="auto"/>
            <w:left w:val="none" w:sz="0" w:space="0" w:color="auto"/>
            <w:bottom w:val="none" w:sz="0" w:space="0" w:color="auto"/>
            <w:right w:val="none" w:sz="0" w:space="0" w:color="auto"/>
          </w:divBdr>
        </w:div>
        <w:div w:id="1390953546">
          <w:marLeft w:val="0"/>
          <w:marRight w:val="0"/>
          <w:marTop w:val="0"/>
          <w:marBottom w:val="0"/>
          <w:divBdr>
            <w:top w:val="none" w:sz="0" w:space="0" w:color="auto"/>
            <w:left w:val="none" w:sz="0" w:space="0" w:color="auto"/>
            <w:bottom w:val="none" w:sz="0" w:space="0" w:color="auto"/>
            <w:right w:val="none" w:sz="0" w:space="0" w:color="auto"/>
          </w:divBdr>
        </w:div>
        <w:div w:id="1448740513">
          <w:marLeft w:val="0"/>
          <w:marRight w:val="0"/>
          <w:marTop w:val="0"/>
          <w:marBottom w:val="0"/>
          <w:divBdr>
            <w:top w:val="none" w:sz="0" w:space="0" w:color="auto"/>
            <w:left w:val="none" w:sz="0" w:space="0" w:color="auto"/>
            <w:bottom w:val="none" w:sz="0" w:space="0" w:color="auto"/>
            <w:right w:val="none" w:sz="0" w:space="0" w:color="auto"/>
          </w:divBdr>
        </w:div>
        <w:div w:id="1528828584">
          <w:marLeft w:val="0"/>
          <w:marRight w:val="0"/>
          <w:marTop w:val="0"/>
          <w:marBottom w:val="0"/>
          <w:divBdr>
            <w:top w:val="none" w:sz="0" w:space="0" w:color="auto"/>
            <w:left w:val="none" w:sz="0" w:space="0" w:color="auto"/>
            <w:bottom w:val="none" w:sz="0" w:space="0" w:color="auto"/>
            <w:right w:val="none" w:sz="0" w:space="0" w:color="auto"/>
          </w:divBdr>
        </w:div>
        <w:div w:id="1593851229">
          <w:marLeft w:val="0"/>
          <w:marRight w:val="0"/>
          <w:marTop w:val="0"/>
          <w:marBottom w:val="0"/>
          <w:divBdr>
            <w:top w:val="none" w:sz="0" w:space="0" w:color="auto"/>
            <w:left w:val="none" w:sz="0" w:space="0" w:color="auto"/>
            <w:bottom w:val="none" w:sz="0" w:space="0" w:color="auto"/>
            <w:right w:val="none" w:sz="0" w:space="0" w:color="auto"/>
          </w:divBdr>
        </w:div>
        <w:div w:id="1624115189">
          <w:marLeft w:val="0"/>
          <w:marRight w:val="0"/>
          <w:marTop w:val="0"/>
          <w:marBottom w:val="0"/>
          <w:divBdr>
            <w:top w:val="none" w:sz="0" w:space="0" w:color="auto"/>
            <w:left w:val="none" w:sz="0" w:space="0" w:color="auto"/>
            <w:bottom w:val="none" w:sz="0" w:space="0" w:color="auto"/>
            <w:right w:val="none" w:sz="0" w:space="0" w:color="auto"/>
          </w:divBdr>
        </w:div>
        <w:div w:id="1698964661">
          <w:marLeft w:val="0"/>
          <w:marRight w:val="0"/>
          <w:marTop w:val="0"/>
          <w:marBottom w:val="0"/>
          <w:divBdr>
            <w:top w:val="none" w:sz="0" w:space="0" w:color="auto"/>
            <w:left w:val="none" w:sz="0" w:space="0" w:color="auto"/>
            <w:bottom w:val="none" w:sz="0" w:space="0" w:color="auto"/>
            <w:right w:val="none" w:sz="0" w:space="0" w:color="auto"/>
          </w:divBdr>
        </w:div>
        <w:div w:id="1699158896">
          <w:marLeft w:val="0"/>
          <w:marRight w:val="0"/>
          <w:marTop w:val="0"/>
          <w:marBottom w:val="0"/>
          <w:divBdr>
            <w:top w:val="none" w:sz="0" w:space="0" w:color="auto"/>
            <w:left w:val="none" w:sz="0" w:space="0" w:color="auto"/>
            <w:bottom w:val="none" w:sz="0" w:space="0" w:color="auto"/>
            <w:right w:val="none" w:sz="0" w:space="0" w:color="auto"/>
          </w:divBdr>
        </w:div>
        <w:div w:id="1755589503">
          <w:marLeft w:val="0"/>
          <w:marRight w:val="0"/>
          <w:marTop w:val="0"/>
          <w:marBottom w:val="0"/>
          <w:divBdr>
            <w:top w:val="none" w:sz="0" w:space="0" w:color="auto"/>
            <w:left w:val="none" w:sz="0" w:space="0" w:color="auto"/>
            <w:bottom w:val="none" w:sz="0" w:space="0" w:color="auto"/>
            <w:right w:val="none" w:sz="0" w:space="0" w:color="auto"/>
          </w:divBdr>
        </w:div>
        <w:div w:id="1768840736">
          <w:marLeft w:val="0"/>
          <w:marRight w:val="0"/>
          <w:marTop w:val="0"/>
          <w:marBottom w:val="0"/>
          <w:divBdr>
            <w:top w:val="none" w:sz="0" w:space="0" w:color="auto"/>
            <w:left w:val="none" w:sz="0" w:space="0" w:color="auto"/>
            <w:bottom w:val="none" w:sz="0" w:space="0" w:color="auto"/>
            <w:right w:val="none" w:sz="0" w:space="0" w:color="auto"/>
          </w:divBdr>
        </w:div>
        <w:div w:id="1783498030">
          <w:marLeft w:val="0"/>
          <w:marRight w:val="0"/>
          <w:marTop w:val="0"/>
          <w:marBottom w:val="0"/>
          <w:divBdr>
            <w:top w:val="none" w:sz="0" w:space="0" w:color="auto"/>
            <w:left w:val="none" w:sz="0" w:space="0" w:color="auto"/>
            <w:bottom w:val="none" w:sz="0" w:space="0" w:color="auto"/>
            <w:right w:val="none" w:sz="0" w:space="0" w:color="auto"/>
          </w:divBdr>
        </w:div>
        <w:div w:id="1804998301">
          <w:marLeft w:val="0"/>
          <w:marRight w:val="0"/>
          <w:marTop w:val="0"/>
          <w:marBottom w:val="0"/>
          <w:divBdr>
            <w:top w:val="none" w:sz="0" w:space="0" w:color="auto"/>
            <w:left w:val="none" w:sz="0" w:space="0" w:color="auto"/>
            <w:bottom w:val="none" w:sz="0" w:space="0" w:color="auto"/>
            <w:right w:val="none" w:sz="0" w:space="0" w:color="auto"/>
          </w:divBdr>
        </w:div>
        <w:div w:id="1845168820">
          <w:marLeft w:val="0"/>
          <w:marRight w:val="0"/>
          <w:marTop w:val="0"/>
          <w:marBottom w:val="0"/>
          <w:divBdr>
            <w:top w:val="none" w:sz="0" w:space="0" w:color="auto"/>
            <w:left w:val="none" w:sz="0" w:space="0" w:color="auto"/>
            <w:bottom w:val="none" w:sz="0" w:space="0" w:color="auto"/>
            <w:right w:val="none" w:sz="0" w:space="0" w:color="auto"/>
          </w:divBdr>
        </w:div>
        <w:div w:id="2007323873">
          <w:marLeft w:val="0"/>
          <w:marRight w:val="0"/>
          <w:marTop w:val="0"/>
          <w:marBottom w:val="0"/>
          <w:divBdr>
            <w:top w:val="none" w:sz="0" w:space="0" w:color="auto"/>
            <w:left w:val="none" w:sz="0" w:space="0" w:color="auto"/>
            <w:bottom w:val="none" w:sz="0" w:space="0" w:color="auto"/>
            <w:right w:val="none" w:sz="0" w:space="0" w:color="auto"/>
          </w:divBdr>
        </w:div>
        <w:div w:id="2012639955">
          <w:marLeft w:val="0"/>
          <w:marRight w:val="0"/>
          <w:marTop w:val="0"/>
          <w:marBottom w:val="0"/>
          <w:divBdr>
            <w:top w:val="none" w:sz="0" w:space="0" w:color="auto"/>
            <w:left w:val="none" w:sz="0" w:space="0" w:color="auto"/>
            <w:bottom w:val="none" w:sz="0" w:space="0" w:color="auto"/>
            <w:right w:val="none" w:sz="0" w:space="0" w:color="auto"/>
          </w:divBdr>
        </w:div>
        <w:div w:id="2043284261">
          <w:marLeft w:val="0"/>
          <w:marRight w:val="0"/>
          <w:marTop w:val="0"/>
          <w:marBottom w:val="0"/>
          <w:divBdr>
            <w:top w:val="none" w:sz="0" w:space="0" w:color="auto"/>
            <w:left w:val="none" w:sz="0" w:space="0" w:color="auto"/>
            <w:bottom w:val="none" w:sz="0" w:space="0" w:color="auto"/>
            <w:right w:val="none" w:sz="0" w:space="0" w:color="auto"/>
          </w:divBdr>
        </w:div>
        <w:div w:id="2051108548">
          <w:marLeft w:val="0"/>
          <w:marRight w:val="0"/>
          <w:marTop w:val="0"/>
          <w:marBottom w:val="0"/>
          <w:divBdr>
            <w:top w:val="none" w:sz="0" w:space="0" w:color="auto"/>
            <w:left w:val="none" w:sz="0" w:space="0" w:color="auto"/>
            <w:bottom w:val="none" w:sz="0" w:space="0" w:color="auto"/>
            <w:right w:val="none" w:sz="0" w:space="0" w:color="auto"/>
          </w:divBdr>
        </w:div>
        <w:div w:id="2064716233">
          <w:marLeft w:val="0"/>
          <w:marRight w:val="0"/>
          <w:marTop w:val="0"/>
          <w:marBottom w:val="0"/>
          <w:divBdr>
            <w:top w:val="none" w:sz="0" w:space="0" w:color="auto"/>
            <w:left w:val="none" w:sz="0" w:space="0" w:color="auto"/>
            <w:bottom w:val="none" w:sz="0" w:space="0" w:color="auto"/>
            <w:right w:val="none" w:sz="0" w:space="0" w:color="auto"/>
          </w:divBdr>
        </w:div>
        <w:div w:id="2128306796">
          <w:marLeft w:val="0"/>
          <w:marRight w:val="0"/>
          <w:marTop w:val="0"/>
          <w:marBottom w:val="0"/>
          <w:divBdr>
            <w:top w:val="none" w:sz="0" w:space="0" w:color="auto"/>
            <w:left w:val="none" w:sz="0" w:space="0" w:color="auto"/>
            <w:bottom w:val="none" w:sz="0" w:space="0" w:color="auto"/>
            <w:right w:val="none" w:sz="0" w:space="0" w:color="auto"/>
          </w:divBdr>
        </w:div>
      </w:divsChild>
    </w:div>
    <w:div w:id="19650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1B78A-8B60-45BA-827F-3CE06F32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ΝΟΜΟΣ ΠΟΥ ΤΡΟΠΟΠΟΙΕΙ ΤΟΝ ΠΕΡΙ ΤΗΣ ΣΥΝΑΨΗΣ ΣΥΜΒΑΣΕΩΝ</vt:lpstr>
    </vt:vector>
  </TitlesOfParts>
  <Company>Τμήμα Ηλεκτρομηχανολογικών Υπηρεσιών</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ΝΟΜΟΣ ΠΟΥ ΤΡΟΠΟΠΟΙΕΙ ΤΟΝ ΠΕΡΙ ΤΗΣ ΣΥΝΑΨΗΣ ΣΥΜΒΑΣΕΩΝ</dc:title>
  <dc:subject>Υγραεριοκίνηση</dc:subject>
  <dc:creator>Μιχάλης Φουντούλης</dc:creator>
  <cp:keywords/>
  <dc:description/>
  <cp:lastModifiedBy>Margarita Kyriakou</cp:lastModifiedBy>
  <cp:revision>2</cp:revision>
  <cp:lastPrinted>2022-02-02T10:20:00Z</cp:lastPrinted>
  <dcterms:created xsi:type="dcterms:W3CDTF">2022-02-18T12:22:00Z</dcterms:created>
  <dcterms:modified xsi:type="dcterms:W3CDTF">2022-02-18T12:22:00Z</dcterms:modified>
</cp:coreProperties>
</file>